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107-e</w:t>
      </w:r>
      <w:r>
        <w:rPr>
          <w:rFonts w:eastAsia="宋体" w:cs="Arial"/>
          <w:b/>
          <w:sz w:val="22"/>
          <w:szCs w:val="22"/>
          <w:lang w:val="en-US" w:eastAsia="zh-CN"/>
        </w:rPr>
        <w:tab/>
      </w:r>
      <w:r>
        <w:rPr>
          <w:rFonts w:cs="Arial"/>
          <w:b/>
          <w:sz w:val="22"/>
          <w:szCs w:val="22"/>
          <w:lang w:val="sv-SE" w:eastAsia="zh-CN"/>
        </w:rPr>
        <w:t>R1-21</w:t>
      </w:r>
      <w:r>
        <w:rPr>
          <w:rFonts w:hint="eastAsia" w:cs="Arial"/>
          <w:b/>
          <w:sz w:val="22"/>
          <w:szCs w:val="22"/>
          <w:lang w:val="en-US" w:eastAsia="zh-CN"/>
        </w:rPr>
        <w:t>11356</w:t>
      </w:r>
    </w:p>
    <w:p>
      <w:pPr>
        <w:tabs>
          <w:tab w:val="center" w:pos="4536"/>
          <w:tab w:val="right" w:pos="8280"/>
          <w:tab w:val="right" w:pos="9639"/>
        </w:tabs>
        <w:snapToGrid w:val="0"/>
        <w:spacing w:after="0" w:line="240" w:lineRule="auto"/>
        <w:ind w:left="331" w:right="2" w:hanging="440" w:hangingChars="200"/>
        <w:jc w:val="both"/>
        <w:rPr>
          <w:rFonts w:ascii="Arial" w:hAnsi="Arial" w:eastAsia="Batang" w:cs="Arial"/>
          <w:b/>
          <w:sz w:val="22"/>
          <w:szCs w:val="22"/>
          <w:lang w:val="sv-SE" w:eastAsia="zh-CN"/>
        </w:rPr>
      </w:pPr>
      <w:r>
        <w:rPr>
          <w:rFonts w:ascii="Arial" w:hAnsi="Arial" w:eastAsia="Batang" w:cs="Arial"/>
          <w:b/>
          <w:sz w:val="22"/>
          <w:szCs w:val="22"/>
          <w:lang w:val="sv-SE" w:eastAsia="ja-JP"/>
        </w:rPr>
        <w:t xml:space="preserve">e-Meeting, </w:t>
      </w:r>
      <w:r>
        <w:rPr>
          <w:rFonts w:hint="eastAsia" w:ascii="Arial" w:hAnsi="Arial" w:eastAsia="Batang" w:cs="Arial"/>
          <w:b/>
          <w:sz w:val="22"/>
          <w:szCs w:val="22"/>
          <w:lang w:val="en-US" w:eastAsia="zh-CN"/>
        </w:rPr>
        <w:t>November 11th – 19th, 2021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 xml:space="preserve">Discussion on </w:t>
      </w:r>
      <w:r>
        <w:rPr>
          <w:rFonts w:hint="eastAsia" w:cs="Arial"/>
          <w:sz w:val="22"/>
          <w:szCs w:val="22"/>
          <w:lang w:val="en-US" w:eastAsia="zh-CN"/>
        </w:rPr>
        <w:t>remaining</w:t>
      </w:r>
      <w:r>
        <w:rPr>
          <w:rFonts w:cs="Arial"/>
          <w:sz w:val="22"/>
          <w:szCs w:val="22"/>
          <w:lang w:val="en-US" w:eastAsia="zh-CN"/>
        </w:rPr>
        <w:t xml:space="preserve"> physical layer issues of small data transmission</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5.2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eastAsia" w:eastAsia="宋体"/>
          <w:lang w:val="en-US" w:eastAsia="zh-CN"/>
        </w:rPr>
      </w:pPr>
      <w:bookmarkStart w:id="1" w:name="OLE_LINK2"/>
      <w:bookmarkStart w:id="2" w:name="OLE_LINK1"/>
      <w:bookmarkStart w:id="3" w:name="OLE_LINK15"/>
      <w:bookmarkStart w:id="4" w:name="OLE_LINK16"/>
      <w:r>
        <w:rPr>
          <w:rFonts w:eastAsia="宋体"/>
          <w:lang w:val="en-US" w:eastAsia="zh-CN"/>
        </w:rPr>
        <w:t>I</w:t>
      </w:r>
      <w:r>
        <w:rPr>
          <w:rFonts w:hint="eastAsia" w:eastAsia="宋体"/>
          <w:lang w:val="en-US" w:eastAsia="zh-CN"/>
        </w:rPr>
        <w:t>n</w:t>
      </w:r>
      <w:r>
        <w:rPr>
          <w:rFonts w:eastAsia="宋体"/>
          <w:lang w:val="en-US" w:eastAsia="zh-CN"/>
        </w:rPr>
        <w:t xml:space="preserve"> the last meetings, RAN1 has discussed the physical layer issues of small data transmission requested by </w:t>
      </w:r>
      <w:r>
        <w:rPr>
          <w:rFonts w:hint="eastAsia" w:eastAsia="宋体"/>
          <w:lang w:val="en-US" w:eastAsia="zh-CN"/>
        </w:rPr>
        <w:t>RAN2 LS</w:t>
      </w:r>
      <w:r>
        <w:rPr>
          <w:rFonts w:eastAsia="宋体"/>
          <w:lang w:val="en-US" w:eastAsia="zh-CN"/>
        </w:rPr>
        <w:t>s</w:t>
      </w:r>
      <w:r>
        <w:rPr>
          <w:rFonts w:hint="eastAsia" w:eastAsia="宋体"/>
          <w:lang w:val="en-US" w:eastAsia="zh-CN"/>
        </w:rPr>
        <w:t>, and some agreement</w:t>
      </w:r>
      <w:r>
        <w:rPr>
          <w:rFonts w:eastAsia="宋体"/>
          <w:lang w:val="en-US" w:eastAsia="zh-CN"/>
        </w:rPr>
        <w:t>s</w:t>
      </w:r>
      <w:r>
        <w:rPr>
          <w:rFonts w:hint="eastAsia" w:eastAsia="宋体"/>
          <w:lang w:val="en-US" w:eastAsia="zh-CN"/>
        </w:rPr>
        <w:t xml:space="preserve"> have been achieved for </w:t>
      </w:r>
      <w:r>
        <w:rPr>
          <w:rFonts w:eastAsia="宋体"/>
          <w:lang w:val="en-US" w:eastAsia="zh-CN"/>
        </w:rPr>
        <w:t xml:space="preserve">RA-SDT and </w:t>
      </w:r>
      <w:r>
        <w:rPr>
          <w:rFonts w:hint="eastAsia" w:eastAsia="宋体"/>
          <w:lang w:val="en-US" w:eastAsia="zh-CN"/>
        </w:rPr>
        <w:t xml:space="preserve">CG-SDT </w:t>
      </w:r>
      <w:r>
        <w:rPr>
          <w:rFonts w:eastAsia="宋体"/>
          <w:lang w:val="en-US" w:eastAsia="zh-CN"/>
        </w:rPr>
        <w:t>respectively</w:t>
      </w:r>
      <w:r>
        <w:rPr>
          <w:rFonts w:hint="eastAsia" w:eastAsia="宋体"/>
          <w:lang w:val="en-US" w:eastAsia="zh-CN"/>
        </w:rPr>
        <w:t xml:space="preserve">. </w:t>
      </w:r>
    </w:p>
    <w:p>
      <w:pPr>
        <w:snapToGrid w:val="0"/>
        <w:spacing w:before="120" w:beforeLines="50" w:after="120" w:afterLines="50" w:line="240" w:lineRule="auto"/>
        <w:jc w:val="both"/>
        <w:rPr>
          <w:lang w:val="en-US" w:eastAsia="zh-CN"/>
        </w:rPr>
      </w:pPr>
      <w:r>
        <w:rPr>
          <w:rFonts w:hint="eastAsia" w:eastAsia="宋体"/>
          <w:lang w:val="en-US" w:eastAsia="zh-CN"/>
        </w:rPr>
        <w:t>I</w:t>
      </w:r>
      <w:r>
        <w:rPr>
          <w:rFonts w:eastAsia="宋体"/>
          <w:lang w:val="en-US" w:eastAsia="zh-CN"/>
        </w:rPr>
        <w:t xml:space="preserve">n this contribution, we discuss the remaining issues </w:t>
      </w:r>
      <w:r>
        <w:rPr>
          <w:rFonts w:hint="eastAsia" w:eastAsia="宋体"/>
          <w:lang w:val="en-US" w:eastAsia="zh-CN"/>
        </w:rPr>
        <w:t xml:space="preserve">on </w:t>
      </w:r>
      <w:r>
        <w:rPr>
          <w:rFonts w:eastAsia="宋体"/>
          <w:lang w:val="en-US" w:eastAsia="zh-CN"/>
        </w:rPr>
        <w:t>SSB to PUSCH mapping</w:t>
      </w:r>
      <w:r>
        <w:rPr>
          <w:rFonts w:hint="eastAsia" w:eastAsia="宋体"/>
          <w:lang w:val="en-US" w:eastAsia="zh-CN"/>
        </w:rPr>
        <w:t xml:space="preserve">, beam change, CG-SDT in unlicensed band, CSS for CG-SDT and RRC parameters.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jc w:val="both"/>
        <w:rPr>
          <w:lang w:val="en-US" w:eastAsia="zh-CN"/>
        </w:rPr>
      </w:pPr>
      <w:r>
        <w:rPr>
          <w:rFonts w:hint="eastAsia"/>
          <w:lang w:val="en-US" w:eastAsia="zh-CN"/>
        </w:rPr>
        <w:t xml:space="preserve"> </w:t>
      </w:r>
      <w:r>
        <w:rPr>
          <w:lang w:val="en-US" w:eastAsia="zh-CN"/>
        </w:rPr>
        <w:t>Mapping between SSB and CG resources</w:t>
      </w:r>
    </w:p>
    <w:p>
      <w:pPr>
        <w:snapToGrid w:val="0"/>
        <w:spacing w:before="120" w:after="120" w:line="240" w:lineRule="auto"/>
        <w:jc w:val="both"/>
        <w:rPr>
          <w:rFonts w:eastAsia="宋体"/>
          <w:lang w:val="en-US" w:eastAsia="zh-CN"/>
        </w:rPr>
      </w:pPr>
      <w:r>
        <w:rPr>
          <w:rFonts w:hint="eastAsia" w:eastAsia="宋体"/>
          <w:lang w:val="en-US" w:eastAsia="zh-CN"/>
        </w:rPr>
        <w:t>As discussed in previous</w:t>
      </w:r>
      <w:r>
        <w:rPr>
          <w:rFonts w:eastAsia="宋体"/>
          <w:lang w:val="en-US" w:eastAsia="zh-CN"/>
        </w:rPr>
        <w:t xml:space="preserve"> </w:t>
      </w:r>
      <w:r>
        <w:rPr>
          <w:rFonts w:hint="eastAsia" w:eastAsia="宋体"/>
          <w:lang w:val="en-US" w:eastAsia="zh-CN"/>
        </w:rPr>
        <w:t>RAN1 meetings,</w:t>
      </w:r>
      <w:r>
        <w:rPr>
          <w:rFonts w:eastAsia="宋体"/>
          <w:lang w:val="en-US" w:eastAsia="zh-CN"/>
        </w:rPr>
        <w:t xml:space="preserve"> </w:t>
      </w:r>
      <w:r>
        <w:rPr>
          <w:rFonts w:hint="eastAsia" w:eastAsia="宋体"/>
          <w:lang w:val="en-US" w:eastAsia="zh-CN"/>
        </w:rPr>
        <w:t>the</w:t>
      </w:r>
      <w:r>
        <w:rPr>
          <w:lang w:val="en-US"/>
        </w:rPr>
        <w:t xml:space="preserve"> </w:t>
      </w:r>
      <w:r>
        <w:rPr>
          <w:rFonts w:hint="eastAsia" w:eastAsia="宋体"/>
          <w:lang w:val="en-US" w:eastAsia="zh-CN"/>
        </w:rPr>
        <w:t>general procedure of</w:t>
      </w:r>
      <w:r>
        <w:rPr>
          <w:lang w:val="en-US"/>
        </w:rPr>
        <w:t xml:space="preserve"> </w:t>
      </w:r>
      <w:r>
        <w:rPr>
          <w:rFonts w:hint="eastAsia" w:eastAsia="宋体"/>
          <w:lang w:val="en-US" w:eastAsia="zh-CN"/>
        </w:rPr>
        <w:t>mapping</w:t>
      </w:r>
      <w:r>
        <w:rPr>
          <w:lang w:val="en-US" w:eastAsia="zh-CN"/>
        </w:rPr>
        <w:t xml:space="preserve"> between SSB and CG resources</w:t>
      </w:r>
      <w:r>
        <w:rPr>
          <w:rFonts w:hint="eastAsia"/>
          <w:lang w:val="en-US" w:eastAsia="zh-CN"/>
        </w:rPr>
        <w:t xml:space="preserve"> </w:t>
      </w:r>
      <w:r>
        <w:rPr>
          <w:lang w:val="en-US" w:eastAsia="zh-CN"/>
        </w:rPr>
        <w:t>within the CG configuration</w:t>
      </w:r>
      <w:r>
        <w:rPr>
          <w:rFonts w:hint="eastAsia"/>
          <w:lang w:val="en-US" w:eastAsia="zh-CN"/>
        </w:rPr>
        <w:t xml:space="preserve"> has already been defined, there are still some remaining issues, such as </w:t>
      </w:r>
      <w:r>
        <w:rPr>
          <w:rFonts w:ascii="Times" w:hAnsi="Times" w:cs="Times"/>
          <w:color w:val="auto"/>
          <w:sz w:val="20"/>
          <w:szCs w:val="20"/>
        </w:rPr>
        <w:t>SSB to CG PUSCH</w:t>
      </w:r>
      <w:r>
        <w:rPr>
          <w:rFonts w:hint="eastAsia" w:ascii="Times" w:hAnsi="Times" w:eastAsia="宋体" w:cs="Times"/>
          <w:color w:val="auto"/>
          <w:sz w:val="20"/>
          <w:szCs w:val="20"/>
          <w:lang w:val="en-US" w:eastAsia="zh-CN"/>
        </w:rPr>
        <w:t xml:space="preserve"> </w:t>
      </w:r>
      <w:r>
        <w:rPr>
          <w:rFonts w:hint="eastAsia"/>
          <w:lang w:val="en-US" w:eastAsia="zh-CN"/>
        </w:rPr>
        <w:t>mapping ratio N&lt;1, restriction on mapping ratio across CG configurations, validation rule, repetitions and multiple CG occasions per CG period.</w:t>
      </w:r>
    </w:p>
    <w:p>
      <w:pPr>
        <w:pStyle w:val="4"/>
        <w:jc w:val="both"/>
        <w:rPr>
          <w:lang w:val="en-US" w:eastAsia="zh-CN"/>
        </w:rPr>
      </w:pPr>
      <w:r>
        <w:rPr>
          <w:rFonts w:hint="eastAsia"/>
          <w:lang w:val="en-US" w:eastAsia="zh-CN"/>
        </w:rPr>
        <w:t xml:space="preserve"> Mapping ratio</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pStyle w:val="23"/>
              <w:spacing w:before="0" w:beforeAutospacing="0" w:after="0" w:afterAutospacing="0"/>
              <w:jc w:val="both"/>
              <w:rPr>
                <w:rFonts w:ascii="Times" w:hAnsi="Times" w:eastAsia="Malgun Gothic" w:cs="Times"/>
                <w:color w:val="auto"/>
                <w:sz w:val="20"/>
                <w:szCs w:val="20"/>
                <w:lang w:eastAsia="ko-KR"/>
              </w:rPr>
            </w:pPr>
            <w:r>
              <w:rPr>
                <w:rStyle w:val="32"/>
                <w:rFonts w:ascii="Times" w:hAnsi="Times" w:cs="Times"/>
                <w:b/>
                <w:bCs/>
                <w:i w:val="0"/>
                <w:color w:val="auto"/>
                <w:sz w:val="20"/>
                <w:szCs w:val="20"/>
                <w:highlight w:val="green"/>
              </w:rPr>
              <w:t>Agreement</w:t>
            </w:r>
          </w:p>
          <w:p>
            <w:pPr>
              <w:pStyle w:val="23"/>
              <w:numPr>
                <w:ilvl w:val="0"/>
                <w:numId w:val="10"/>
              </w:numPr>
              <w:spacing w:before="0" w:beforeAutospacing="0" w:after="0" w:afterAutospacing="0"/>
              <w:jc w:val="both"/>
              <w:rPr>
                <w:rFonts w:ascii="Times" w:hAnsi="Times" w:cs="Times"/>
                <w:color w:val="auto"/>
                <w:sz w:val="20"/>
                <w:szCs w:val="20"/>
              </w:rPr>
            </w:pPr>
            <w:r>
              <w:rPr>
                <w:rFonts w:ascii="Times" w:hAnsi="Times" w:cs="Times"/>
                <w:color w:val="auto"/>
                <w:sz w:val="20"/>
                <w:szCs w:val="20"/>
              </w:rPr>
              <w:t>Mapping ratio of SSB to CG PUSCH is configured per CG configuration.</w:t>
            </w:r>
          </w:p>
          <w:p>
            <w:pPr>
              <w:pStyle w:val="23"/>
              <w:numPr>
                <w:ilvl w:val="1"/>
                <w:numId w:val="11"/>
              </w:numPr>
              <w:spacing w:before="0" w:beforeAutospacing="0" w:after="0" w:afterAutospacing="0"/>
              <w:jc w:val="both"/>
              <w:rPr>
                <w:rFonts w:ascii="Times" w:hAnsi="Times" w:cs="Times"/>
                <w:color w:val="auto"/>
                <w:sz w:val="20"/>
                <w:szCs w:val="20"/>
                <w:highlight w:val="none"/>
              </w:rPr>
            </w:pPr>
            <w:r>
              <w:rPr>
                <w:rFonts w:ascii="Times" w:hAnsi="Times" w:cs="Times"/>
                <w:color w:val="auto"/>
                <w:sz w:val="20"/>
                <w:szCs w:val="20"/>
                <w:highlight w:val="none"/>
              </w:rPr>
              <w:t>FFS whether to restrict the same value for all CG configuration and/or allow different value for different CG configurations.</w:t>
            </w:r>
          </w:p>
          <w:p>
            <w:pPr>
              <w:pStyle w:val="23"/>
              <w:numPr>
                <w:ilvl w:val="0"/>
                <w:numId w:val="10"/>
              </w:numPr>
              <w:spacing w:before="0" w:beforeAutospacing="0" w:after="0" w:afterAutospacing="0"/>
              <w:jc w:val="both"/>
              <w:rPr>
                <w:rFonts w:ascii="Times" w:hAnsi="Times" w:cs="Times"/>
                <w:color w:val="auto"/>
                <w:sz w:val="20"/>
                <w:szCs w:val="20"/>
                <w:highlight w:val="none"/>
              </w:rPr>
            </w:pPr>
            <w:r>
              <w:rPr>
                <w:rFonts w:ascii="Times" w:hAnsi="Times" w:cs="Times"/>
                <w:color w:val="auto"/>
                <w:sz w:val="20"/>
                <w:szCs w:val="20"/>
                <w:highlight w:val="none"/>
              </w:rPr>
              <w:t>For the candidate value set of SSB to CG PUSCH mapping ratio, support at least {1, 2, 4, 8, 16}</w:t>
            </w:r>
          </w:p>
          <w:p>
            <w:pPr>
              <w:pStyle w:val="23"/>
              <w:numPr>
                <w:ilvl w:val="1"/>
                <w:numId w:val="11"/>
              </w:numPr>
              <w:spacing w:before="0" w:beforeAutospacing="0" w:after="0" w:afterAutospacing="0"/>
              <w:jc w:val="both"/>
              <w:rPr>
                <w:rFonts w:eastAsia="宋体"/>
                <w:lang w:val="en-US" w:eastAsia="zh-CN"/>
              </w:rPr>
            </w:pPr>
            <w:r>
              <w:rPr>
                <w:rFonts w:ascii="Times" w:hAnsi="Times" w:cs="Times"/>
                <w:color w:val="auto"/>
                <w:sz w:val="20"/>
                <w:szCs w:val="20"/>
                <w:highlight w:val="none"/>
              </w:rPr>
              <w:t>FFS {1/8,1/4,1/2}</w:t>
            </w:r>
          </w:p>
        </w:tc>
      </w:tr>
    </w:tbl>
    <w:p>
      <w:pPr>
        <w:numPr>
          <w:ilvl w:val="255"/>
          <w:numId w:val="0"/>
        </w:numPr>
        <w:jc w:val="both"/>
        <w:rPr>
          <w:rFonts w:hint="eastAsia"/>
          <w:highlight w:val="none"/>
          <w:lang w:val="en-US" w:eastAsia="zh-CN"/>
        </w:rPr>
      </w:pPr>
    </w:p>
    <w:p>
      <w:pPr>
        <w:numPr>
          <w:ilvl w:val="255"/>
          <w:numId w:val="0"/>
        </w:numPr>
        <w:jc w:val="both"/>
        <w:rPr>
          <w:rFonts w:hint="default"/>
          <w:highlight w:val="none"/>
          <w:lang w:val="en-US" w:eastAsia="zh-CN"/>
        </w:rPr>
      </w:pPr>
      <w:r>
        <w:rPr>
          <w:rFonts w:hint="eastAsia"/>
          <w:highlight w:val="none"/>
          <w:lang w:val="en-US" w:eastAsia="zh-CN"/>
        </w:rPr>
        <w:t>As agreed in previous meeting, the SSB to CG PUSCH mapping procedure is per CG configuration, so it</w:t>
      </w:r>
      <w:r>
        <w:rPr>
          <w:rFonts w:hint="default"/>
          <w:highlight w:val="none"/>
          <w:lang w:val="en-US" w:eastAsia="zh-CN"/>
        </w:rPr>
        <w:t>’</w:t>
      </w:r>
      <w:r>
        <w:rPr>
          <w:rFonts w:hint="eastAsia"/>
          <w:highlight w:val="none"/>
          <w:lang w:val="en-US" w:eastAsia="zh-CN"/>
        </w:rPr>
        <w:t>s natural that the mapping related parameters such as SSB subset, CG resources and mapping ratio are configured per CG configuration. One company suggests to restrict the same value of mapping ratio for all CG configurations, the reason is to ensure the same number of CG PUSCH associated with each SSB to avoid unfairness. However, if a UE is configured with multiple CG configurations, the UE would eventually selects one CG configuration, anyway the actual number of CG PUSCH associated with each SSB for mapping is still the same, there is no need to keep the same behavior for each CG configuration. In addition, even with the same value restriction on mapping ratio, the time and frequency domain CG resource for each CG configuration is still independently configured, the so called unfairness issue can only be avoided if all the parameters in different CG configurations are kept the same, then the multiple CG configurations become meaningless. Therefore, there is no need to restrict the same value of mapping ratio for all CG configurations.</w:t>
      </w:r>
    </w:p>
    <w:p>
      <w:pPr>
        <w:numPr>
          <w:ilvl w:val="255"/>
          <w:numId w:val="0"/>
        </w:numPr>
        <w:jc w:val="both"/>
        <w:rPr>
          <w:rFonts w:hint="eastAsia" w:eastAsia="宋体"/>
          <w:b/>
          <w:bCs/>
          <w:i/>
          <w:iCs/>
          <w:lang w:val="en-US" w:eastAsia="zh-CN"/>
        </w:rPr>
      </w:pPr>
      <w:r>
        <w:rPr>
          <w:rFonts w:eastAsia="宋体"/>
          <w:b/>
          <w:bCs/>
          <w:i/>
          <w:iCs/>
          <w:lang w:val="en-US" w:eastAsia="zh-CN"/>
        </w:rPr>
        <w:t xml:space="preserve">Proposal </w:t>
      </w:r>
      <w:r>
        <w:rPr>
          <w:rFonts w:hint="eastAsia" w:eastAsia="宋体"/>
          <w:b/>
          <w:bCs/>
          <w:i/>
          <w:iCs/>
          <w:lang w:val="en-US" w:eastAsia="zh-CN"/>
        </w:rPr>
        <w:t>1</w:t>
      </w:r>
      <w:r>
        <w:rPr>
          <w:rFonts w:eastAsia="宋体"/>
          <w:b/>
          <w:bCs/>
          <w:i/>
          <w:iCs/>
          <w:lang w:val="en-US" w:eastAsia="zh-CN"/>
        </w:rPr>
        <w:t>:</w:t>
      </w:r>
      <w:r>
        <w:rPr>
          <w:rFonts w:hint="eastAsia" w:eastAsia="宋体"/>
          <w:b/>
          <w:bCs/>
          <w:i/>
          <w:iCs/>
          <w:lang w:val="en-US" w:eastAsia="zh-CN"/>
        </w:rPr>
        <w:t xml:space="preserve"> There is no need to restrict the same value of mapping ratio for all CG configurations. </w:t>
      </w:r>
    </w:p>
    <w:p>
      <w:pPr>
        <w:numPr>
          <w:ilvl w:val="255"/>
          <w:numId w:val="0"/>
        </w:numPr>
        <w:jc w:val="both"/>
        <w:rPr>
          <w:rFonts w:hint="default" w:eastAsia="宋体"/>
          <w:b/>
          <w:bCs/>
          <w:i/>
          <w:iCs/>
          <w:highlight w:val="none"/>
          <w:lang w:val="en-US" w:eastAsia="zh-CN"/>
        </w:rPr>
      </w:pPr>
      <w:r>
        <w:rPr>
          <w:rFonts w:hint="eastAsia"/>
          <w:highlight w:val="none"/>
          <w:lang w:val="en-US" w:eastAsia="zh-CN"/>
        </w:rPr>
        <w:t xml:space="preserve">It has been discussed in last meeting about the candidate value set of mapping ratio, most companies agree to reuse the candidate value set of SSB to RO mapping, i.e. </w:t>
      </w:r>
      <w:r>
        <w:rPr>
          <w:rFonts w:ascii="Times" w:hAnsi="Times" w:cs="Times"/>
          <w:color w:val="auto"/>
          <w:sz w:val="20"/>
          <w:szCs w:val="20"/>
          <w:highlight w:val="none"/>
        </w:rPr>
        <w:t>{1/8,1/4,1/2</w:t>
      </w:r>
      <w:r>
        <w:rPr>
          <w:rFonts w:hint="eastAsia" w:ascii="Times" w:hAnsi="Times" w:eastAsia="宋体" w:cs="Times"/>
          <w:color w:val="auto"/>
          <w:sz w:val="20"/>
          <w:szCs w:val="20"/>
          <w:highlight w:val="none"/>
          <w:lang w:val="en-US" w:eastAsia="zh-CN"/>
        </w:rPr>
        <w:t xml:space="preserve">, </w:t>
      </w:r>
      <w:r>
        <w:rPr>
          <w:rFonts w:ascii="Times" w:hAnsi="Times" w:cs="Times"/>
          <w:color w:val="auto"/>
          <w:sz w:val="20"/>
          <w:szCs w:val="20"/>
          <w:highlight w:val="none"/>
        </w:rPr>
        <w:t>1, 2, 4, 8</w:t>
      </w:r>
      <w:r>
        <w:rPr>
          <w:rFonts w:ascii="Times" w:hAnsi="Times" w:cs="Times"/>
          <w:color w:val="auto"/>
          <w:sz w:val="20"/>
          <w:szCs w:val="20"/>
        </w:rPr>
        <w:t>, 16}</w:t>
      </w:r>
      <w:r>
        <w:rPr>
          <w:rFonts w:hint="eastAsia" w:ascii="Times" w:hAnsi="Times" w:eastAsia="宋体" w:cs="Times"/>
          <w:color w:val="auto"/>
          <w:sz w:val="20"/>
          <w:szCs w:val="20"/>
          <w:lang w:val="en-US" w:eastAsia="zh-CN"/>
        </w:rPr>
        <w:t>. However, some companies mentioned that the value of mapping ratio N&lt;1 cannot bring benefit to CG-SDT, even it would cause resource waste. When mapping ratio N&lt;1, it means one SSB will be mapped to multiple CG PUSCH resources, and UE will randomly select one CG PUSCH among the multiple CG PUSCH resources for SDT transmission. As multiple DMRS resources for each CG occasion are supported, it</w:t>
      </w:r>
      <w:r>
        <w:rPr>
          <w:rFonts w:hint="default" w:ascii="Times" w:hAnsi="Times" w:eastAsia="宋体" w:cs="Times"/>
          <w:color w:val="auto"/>
          <w:sz w:val="20"/>
          <w:szCs w:val="20"/>
          <w:lang w:val="en-US" w:eastAsia="zh-CN"/>
        </w:rPr>
        <w:t>’</w:t>
      </w:r>
      <w:r>
        <w:rPr>
          <w:rFonts w:hint="eastAsia" w:ascii="Times" w:hAnsi="Times" w:eastAsia="宋体" w:cs="Times"/>
          <w:color w:val="auto"/>
          <w:sz w:val="20"/>
          <w:szCs w:val="20"/>
          <w:lang w:val="en-US" w:eastAsia="zh-CN"/>
        </w:rPr>
        <w:t>s true that some of the DMRS resources may be wasted with N&lt;1. Although gNB could configure appropriate value of mapping ratio, we can also accept to not introduce mapping ratio N&lt;1 for CG-SDT.</w:t>
      </w:r>
    </w:p>
    <w:p>
      <w:pPr>
        <w:numPr>
          <w:ilvl w:val="255"/>
          <w:numId w:val="0"/>
        </w:numPr>
        <w:jc w:val="both"/>
        <w:rPr>
          <w:rFonts w:hint="default" w:eastAsia="宋体"/>
          <w:b/>
          <w:bCs/>
          <w:i/>
          <w:iCs/>
          <w:lang w:val="en-US" w:eastAsia="zh-CN"/>
        </w:rPr>
      </w:pPr>
      <w:r>
        <w:rPr>
          <w:rFonts w:hint="eastAsia" w:eastAsia="宋体"/>
          <w:b/>
          <w:bCs/>
          <w:i/>
          <w:iCs/>
          <w:lang w:val="en-US" w:eastAsia="zh-CN"/>
        </w:rPr>
        <w:t>Proposal 2: Do not introduce mapping ratio N&lt;1 for CG-SDT.</w:t>
      </w:r>
    </w:p>
    <w:p>
      <w:pPr>
        <w:pStyle w:val="4"/>
        <w:jc w:val="both"/>
        <w:rPr>
          <w:lang w:val="en-US" w:eastAsia="zh-CN"/>
        </w:rPr>
      </w:pPr>
      <w:r>
        <w:rPr>
          <w:rFonts w:hint="eastAsia"/>
          <w:lang w:val="en-US" w:eastAsia="zh-CN"/>
        </w:rPr>
        <w:t xml:space="preserve"> Validation rule</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5" w:type="dxa"/>
          </w:tcPr>
          <w:p>
            <w:pPr>
              <w:pStyle w:val="23"/>
              <w:spacing w:before="0" w:beforeAutospacing="0" w:after="0" w:afterAutospacing="0"/>
              <w:jc w:val="both"/>
              <w:rPr>
                <w:rFonts w:ascii="Times" w:hAnsi="Times" w:eastAsia="Malgun Gothic" w:cs="Times"/>
                <w:color w:val="auto"/>
                <w:sz w:val="20"/>
                <w:szCs w:val="20"/>
                <w:lang w:eastAsia="ko-KR"/>
              </w:rPr>
            </w:pPr>
            <w:r>
              <w:rPr>
                <w:rStyle w:val="32"/>
                <w:rFonts w:ascii="Times" w:hAnsi="Times" w:cs="Times"/>
                <w:b/>
                <w:bCs/>
                <w:i w:val="0"/>
                <w:color w:val="auto"/>
                <w:sz w:val="20"/>
                <w:szCs w:val="20"/>
                <w:highlight w:val="green"/>
              </w:rPr>
              <w:t>Agreement</w:t>
            </w:r>
          </w:p>
          <w:p>
            <w:pPr>
              <w:pStyle w:val="136"/>
              <w:ind w:left="0" w:leftChars="0"/>
              <w:jc w:val="both"/>
              <w:rPr>
                <w:rFonts w:cs="Times"/>
                <w:szCs w:val="20"/>
                <w:lang w:eastAsia="zh-CN"/>
              </w:rPr>
            </w:pPr>
            <w:r>
              <w:rPr>
                <w:rFonts w:cs="Times"/>
                <w:szCs w:val="20"/>
                <w:lang w:eastAsia="zh-CN"/>
              </w:rPr>
              <w:t>A CG PUSCH occasion is not valid if it overlaps with any valid PRACH occasion.</w:t>
            </w:r>
          </w:p>
          <w:p>
            <w:pPr>
              <w:pStyle w:val="23"/>
              <w:numPr>
                <w:ilvl w:val="0"/>
                <w:numId w:val="10"/>
              </w:numPr>
              <w:spacing w:before="0" w:beforeAutospacing="0" w:after="0" w:afterAutospacing="0"/>
              <w:jc w:val="both"/>
              <w:rPr>
                <w:rFonts w:eastAsia="宋体"/>
                <w:lang w:val="en-US" w:eastAsia="zh-CN"/>
              </w:rPr>
            </w:pPr>
            <w:r>
              <w:rPr>
                <w:rFonts w:ascii="Times" w:hAnsi="Times" w:cs="Times"/>
                <w:color w:val="auto"/>
                <w:sz w:val="20"/>
                <w:szCs w:val="20"/>
              </w:rPr>
              <w:t>FFS overlapping between CG PUSCH occasions and MsgA PUSCH occasion</w:t>
            </w:r>
          </w:p>
        </w:tc>
      </w:tr>
    </w:tbl>
    <w:p>
      <w:pPr>
        <w:bidi w:val="0"/>
        <w:jc w:val="both"/>
        <w:rPr>
          <w:rFonts w:hint="eastAsia"/>
          <w:b w:val="0"/>
          <w:bCs w:val="0"/>
          <w:i w:val="0"/>
          <w:iCs w:val="0"/>
          <w:lang w:val="en-US" w:eastAsia="zh-CN"/>
        </w:rPr>
      </w:pPr>
    </w:p>
    <w:p>
      <w:pPr>
        <w:bidi w:val="0"/>
        <w:jc w:val="both"/>
        <w:rPr>
          <w:rFonts w:hint="default"/>
          <w:b w:val="0"/>
          <w:bCs w:val="0"/>
          <w:i w:val="0"/>
          <w:iCs w:val="0"/>
          <w:lang w:val="en-US" w:eastAsia="zh-CN"/>
        </w:rPr>
      </w:pPr>
      <w:r>
        <w:rPr>
          <w:rFonts w:hint="eastAsia"/>
          <w:b w:val="0"/>
          <w:bCs w:val="0"/>
          <w:i w:val="0"/>
          <w:iCs w:val="0"/>
          <w:lang w:val="en-US" w:eastAsia="zh-CN"/>
        </w:rPr>
        <w:t>Small data transmission and 2-step RACH are separate features introduced in Rel-17 and Rel-16, so a Rel-17 UE supporting SDT may not support 2-step RACH. It</w:t>
      </w:r>
      <w:r>
        <w:rPr>
          <w:rFonts w:hint="default"/>
          <w:b w:val="0"/>
          <w:bCs w:val="0"/>
          <w:i w:val="0"/>
          <w:iCs w:val="0"/>
          <w:lang w:val="en-US" w:eastAsia="zh-CN"/>
        </w:rPr>
        <w:t>’</w:t>
      </w:r>
      <w:r>
        <w:rPr>
          <w:rFonts w:hint="eastAsia"/>
          <w:b w:val="0"/>
          <w:bCs w:val="0"/>
          <w:i w:val="0"/>
          <w:iCs w:val="0"/>
          <w:lang w:val="en-US" w:eastAsia="zh-CN"/>
        </w:rPr>
        <w:t>s not necessary to define validation rule to handle the overlapping between CG PUSCH occasions and MsgA PUSCH occasions, since they are both optional features, and there is no clear priority between these features. Therefore, we suggest to leave it up to UE implementation to handle the overlapping between CG PUSCH occasions and MsgA PUSCH occasions.</w:t>
      </w:r>
    </w:p>
    <w:p>
      <w:pPr>
        <w:bidi w:val="0"/>
        <w:jc w:val="both"/>
        <w:rPr>
          <w:rFonts w:hint="default"/>
          <w:b/>
          <w:bCs/>
          <w:i/>
          <w:iCs/>
          <w:lang w:val="en-US" w:eastAsia="zh-CN"/>
        </w:rPr>
      </w:pPr>
      <w:r>
        <w:rPr>
          <w:rFonts w:hint="eastAsia"/>
          <w:b/>
          <w:bCs/>
          <w:i/>
          <w:iCs/>
          <w:lang w:val="en-US" w:eastAsia="zh-CN"/>
        </w:rPr>
        <w:t>Proposal 3: It</w:t>
      </w:r>
      <w:r>
        <w:rPr>
          <w:rFonts w:hint="default"/>
          <w:b/>
          <w:bCs/>
          <w:i/>
          <w:iCs/>
          <w:lang w:val="en-US" w:eastAsia="zh-CN"/>
        </w:rPr>
        <w:t>’</w:t>
      </w:r>
      <w:r>
        <w:rPr>
          <w:rFonts w:hint="eastAsia"/>
          <w:b/>
          <w:bCs/>
          <w:i/>
          <w:iCs/>
          <w:lang w:val="en-US" w:eastAsia="zh-CN"/>
        </w:rPr>
        <w:t>s up to UE implementation to handle the overlapping between CG PUSCH occasions and MsgA PUSCH occasions.</w:t>
      </w:r>
    </w:p>
    <w:p>
      <w:pPr>
        <w:pStyle w:val="4"/>
        <w:jc w:val="both"/>
        <w:rPr>
          <w:lang w:val="en-US" w:eastAsia="zh-CN"/>
        </w:rPr>
      </w:pPr>
      <w:r>
        <w:rPr>
          <w:rFonts w:hint="eastAsia"/>
          <w:lang w:val="en-US" w:eastAsia="zh-CN"/>
        </w:rPr>
        <w:t xml:space="preserve"> Multiple CG occasions per CG period</w:t>
      </w:r>
    </w:p>
    <w:p>
      <w:pPr>
        <w:jc w:val="both"/>
        <w:rPr>
          <w:rFonts w:hint="eastAsia"/>
          <w:highlight w:val="none"/>
          <w:lang w:val="en-US" w:eastAsia="zh-CN"/>
        </w:rPr>
      </w:pPr>
      <w:r>
        <w:rPr>
          <w:rFonts w:hint="eastAsia"/>
          <w:highlight w:val="none"/>
          <w:lang w:val="en-US" w:eastAsia="zh-CN"/>
        </w:rPr>
        <w:t xml:space="preserve">In RAN1#106bis-e meeting, multiple CG occasions per CG period is discussed. Some companies support to reinterpret repetitions as number of CG occasions per CG period. Some other companies prefer to reuse the design of multiple MsgA PUSCH occasions, i.e. define the number of TDMed and FDMed PO number, restrict all the POs with the same time and frequency domain resources and define time domain and frequency domain gap for adjacent POs. </w:t>
      </w:r>
    </w:p>
    <w:p>
      <w:pPr>
        <w:jc w:val="both"/>
        <w:rPr>
          <w:rFonts w:hint="default"/>
          <w:highlight w:val="none"/>
          <w:lang w:val="en-US" w:eastAsia="zh-CN"/>
        </w:rPr>
      </w:pPr>
      <w:r>
        <w:rPr>
          <w:rFonts w:hint="eastAsia"/>
          <w:highlight w:val="none"/>
          <w:lang w:val="en-US" w:eastAsia="zh-CN"/>
        </w:rPr>
        <w:t>We think there is no need to introduce multiple CG occasions per CG period, it</w:t>
      </w:r>
      <w:r>
        <w:rPr>
          <w:rFonts w:hint="default"/>
          <w:highlight w:val="none"/>
          <w:lang w:val="en-US" w:eastAsia="zh-CN"/>
        </w:rPr>
        <w:t>’</w:t>
      </w:r>
      <w:r>
        <w:rPr>
          <w:rFonts w:hint="eastAsia"/>
          <w:highlight w:val="none"/>
          <w:lang w:val="en-US" w:eastAsia="zh-CN"/>
        </w:rPr>
        <w:t>s different from MsgA PO design, since multiple MsgA PUSCH occasions are intended for all UEs in a cell, so it</w:t>
      </w:r>
      <w:r>
        <w:rPr>
          <w:rFonts w:hint="default"/>
          <w:highlight w:val="none"/>
          <w:lang w:val="en-US" w:eastAsia="zh-CN"/>
        </w:rPr>
        <w:t>’</w:t>
      </w:r>
      <w:r>
        <w:rPr>
          <w:rFonts w:hint="eastAsia"/>
          <w:highlight w:val="none"/>
          <w:lang w:val="en-US" w:eastAsia="zh-CN"/>
        </w:rPr>
        <w:t>s better to have adequate resource pool for UE to do random selection to avoid overlapping. The situation is quite different for CG-SDT, firstly, the CG configuration is UE specific, the CG occasions are intended for single UE, so there is no UE multiplexing issue as in 2-step RACH. Secondly, the value range of CG periodicity is from 2 symbols to 640ms, so if the intention of introducing multiple CG occasions per CG period is to reduce latency, it can be guaranteed by configuring a smaller value of CG period and/or  multiple DMRS resources. Lastly, multiple CG occasions per CG period may introduce large spec impact, it will further impact the agreed mapping order design, so at this late stage of Rel-17, we prefer to not introduce multiple CG occasions per CG period.</w:t>
      </w:r>
    </w:p>
    <w:p>
      <w:pPr>
        <w:bidi w:val="0"/>
        <w:jc w:val="both"/>
        <w:rPr>
          <w:rFonts w:hint="default"/>
          <w:b/>
          <w:bCs/>
          <w:i/>
          <w:iCs/>
          <w:lang w:val="en-US" w:eastAsia="zh-CN"/>
        </w:rPr>
      </w:pPr>
      <w:r>
        <w:rPr>
          <w:rFonts w:hint="eastAsia"/>
          <w:b/>
          <w:bCs/>
          <w:i/>
          <w:iCs/>
          <w:lang w:val="en-US" w:eastAsia="zh-CN"/>
        </w:rPr>
        <w:t>Proposal 4: Multiple CG occasions per CG period is not supported.</w:t>
      </w:r>
    </w:p>
    <w:p>
      <w:pPr>
        <w:pStyle w:val="4"/>
        <w:jc w:val="both"/>
        <w:rPr>
          <w:lang w:val="en-US" w:eastAsia="zh-CN"/>
        </w:rPr>
      </w:pPr>
      <w:r>
        <w:rPr>
          <w:rFonts w:hint="eastAsia"/>
          <w:lang w:val="en-US" w:eastAsia="zh-CN"/>
        </w:rPr>
        <w:t xml:space="preserve"> Repetitions</w:t>
      </w:r>
    </w:p>
    <w:tbl>
      <w:tblPr>
        <w:tblStyle w:val="26"/>
        <w:tblW w:w="9528"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8" w:type="dxa"/>
          </w:tcPr>
          <w:p>
            <w:pPr>
              <w:jc w:val="both"/>
              <w:rPr>
                <w:lang w:eastAsia="zh-CN"/>
              </w:rPr>
            </w:pPr>
            <w:r>
              <w:rPr>
                <w:rFonts w:hint="eastAsia"/>
                <w:b/>
                <w:i/>
                <w:highlight w:val="yellow"/>
                <w:lang w:eastAsia="zh-CN"/>
              </w:rPr>
              <w:t>Proposal</w:t>
            </w:r>
            <w:r>
              <w:rPr>
                <w:b/>
                <w:i/>
                <w:highlight w:val="yellow"/>
                <w:lang w:eastAsia="zh-CN"/>
              </w:rPr>
              <w:t xml:space="preserve"> </w:t>
            </w:r>
            <w:r>
              <w:rPr>
                <w:rFonts w:hint="eastAsia"/>
                <w:b/>
                <w:i/>
                <w:highlight w:val="yellow"/>
                <w:lang w:eastAsia="zh-CN"/>
              </w:rPr>
              <w:t>2</w:t>
            </w:r>
            <w:r>
              <w:rPr>
                <w:b/>
                <w:i/>
                <w:highlight w:val="yellow"/>
                <w:lang w:eastAsia="zh-CN"/>
              </w:rPr>
              <w:t>.</w:t>
            </w:r>
            <w:r>
              <w:rPr>
                <w:rFonts w:hint="eastAsia"/>
                <w:b/>
                <w:i/>
                <w:highlight w:val="yellow"/>
                <w:lang w:eastAsia="zh-CN"/>
              </w:rPr>
              <w:t>3</w:t>
            </w:r>
            <w:r>
              <w:rPr>
                <w:lang w:eastAsia="zh-CN"/>
              </w:rPr>
              <w:t>:</w:t>
            </w:r>
          </w:p>
          <w:p>
            <w:pPr>
              <w:jc w:val="both"/>
              <w:rPr>
                <w:lang w:eastAsia="zh-CN"/>
              </w:rPr>
            </w:pPr>
            <w:r>
              <w:rPr>
                <w:lang w:eastAsia="zh-CN"/>
              </w:rPr>
              <w:t>Down-</w:t>
            </w:r>
            <w:r>
              <w:rPr>
                <w:rFonts w:hint="eastAsia"/>
                <w:lang w:eastAsia="zh-CN"/>
              </w:rPr>
              <w:t>select among</w:t>
            </w:r>
            <w:r>
              <w:rPr>
                <w:lang w:eastAsia="zh-CN"/>
              </w:rPr>
              <w:t xml:space="preserve"> the</w:t>
            </w:r>
            <w:r>
              <w:rPr>
                <w:rFonts w:hint="eastAsia"/>
                <w:lang w:eastAsia="zh-CN"/>
              </w:rPr>
              <w:t xml:space="preserve"> following three</w:t>
            </w:r>
            <w:r>
              <w:rPr>
                <w:lang w:eastAsia="zh-CN"/>
              </w:rPr>
              <w:t xml:space="preserve"> </w:t>
            </w:r>
            <w:r>
              <w:rPr>
                <w:rFonts w:hint="eastAsia"/>
                <w:lang w:eastAsia="zh-CN"/>
              </w:rPr>
              <w:t>options</w:t>
            </w:r>
            <w:r>
              <w:rPr>
                <w:lang w:eastAsia="zh-CN"/>
              </w:rPr>
              <w:t xml:space="preserve"> for the interpretation of PUSCH repet</w:t>
            </w:r>
            <w:r>
              <w:rPr>
                <w:rFonts w:hint="eastAsia"/>
                <w:lang w:eastAsia="zh-CN"/>
              </w:rPr>
              <w:t>i</w:t>
            </w:r>
            <w:r>
              <w:rPr>
                <w:lang w:eastAsia="zh-CN"/>
              </w:rPr>
              <w:t>tion</w:t>
            </w:r>
            <w:r>
              <w:rPr>
                <w:rFonts w:hint="eastAsia"/>
                <w:lang w:eastAsia="zh-CN"/>
              </w:rPr>
              <w:t xml:space="preserve"> for CG-SDT:</w:t>
            </w:r>
          </w:p>
          <w:p>
            <w:pPr>
              <w:numPr>
                <w:ilvl w:val="0"/>
                <w:numId w:val="12"/>
              </w:numPr>
              <w:jc w:val="both"/>
              <w:rPr>
                <w:lang w:eastAsia="zh-CN"/>
              </w:rPr>
            </w:pPr>
            <w:r>
              <w:rPr>
                <w:rFonts w:hint="eastAsia"/>
                <w:lang w:eastAsia="zh-CN"/>
              </w:rPr>
              <w:t>Option 1: Re-interpret the configured repetitions as TDMed transmission occasions within a CG period.</w:t>
            </w:r>
          </w:p>
          <w:p>
            <w:pPr>
              <w:numPr>
                <w:ilvl w:val="0"/>
                <w:numId w:val="12"/>
              </w:numPr>
              <w:jc w:val="both"/>
              <w:rPr>
                <w:lang w:eastAsia="zh-CN"/>
              </w:rPr>
            </w:pPr>
            <w:r>
              <w:rPr>
                <w:rFonts w:hint="eastAsia"/>
                <w:lang w:eastAsia="zh-CN"/>
              </w:rPr>
              <w:t>Option 2: The repetitions are considered as a bundle of transmission occasions that are mapped to the same SSB(s)</w:t>
            </w:r>
            <w:r>
              <w:rPr>
                <w:lang w:eastAsia="zh-CN"/>
              </w:rPr>
              <w:t>, no additional specification rule is needed</w:t>
            </w:r>
            <w:r>
              <w:rPr>
                <w:rFonts w:hint="eastAsia"/>
                <w:lang w:eastAsia="zh-CN"/>
              </w:rPr>
              <w:t xml:space="preserve">. </w:t>
            </w:r>
          </w:p>
          <w:p>
            <w:pPr>
              <w:numPr>
                <w:ilvl w:val="0"/>
                <w:numId w:val="12"/>
              </w:numPr>
              <w:jc w:val="both"/>
              <w:rPr>
                <w:rFonts w:eastAsia="宋体"/>
                <w:lang w:val="en-US" w:eastAsia="zh-CN"/>
              </w:rPr>
            </w:pPr>
            <w:r>
              <w:rPr>
                <w:rFonts w:hint="eastAsia"/>
                <w:lang w:eastAsia="zh-CN"/>
              </w:rPr>
              <w:t xml:space="preserve">Option 3: PUSCH repetition is not supported for CG-SDT. </w:t>
            </w:r>
          </w:p>
        </w:tc>
      </w:tr>
    </w:tbl>
    <w:p>
      <w:pPr>
        <w:numPr>
          <w:ilvl w:val="255"/>
          <w:numId w:val="0"/>
        </w:numPr>
        <w:spacing w:before="180" w:line="260" w:lineRule="auto"/>
        <w:jc w:val="both"/>
        <w:rPr>
          <w:rFonts w:eastAsia="宋体"/>
          <w:lang w:val="en-US" w:eastAsia="zh-CN"/>
        </w:rPr>
      </w:pPr>
      <w:r>
        <w:rPr>
          <w:rFonts w:hint="eastAsia" w:eastAsia="宋体"/>
          <w:lang w:val="en-US" w:eastAsia="zh-CN"/>
        </w:rPr>
        <w:t>The issue of repetitions have been discussed for 3 meetings but there is still no consensus. One company thinks that there is an unfairness issue if some of the repetitions are invalid in some of the CG periods, so they prefer the above Option 1 to reinterpret the repetitions. Other companies prefer Option 2 and think that it</w:t>
      </w:r>
      <w:r>
        <w:rPr>
          <w:rFonts w:hint="default" w:eastAsia="宋体"/>
          <w:lang w:val="en-US" w:eastAsia="zh-CN"/>
        </w:rPr>
        <w:t>’</w:t>
      </w:r>
      <w:r>
        <w:rPr>
          <w:rFonts w:hint="eastAsia" w:eastAsia="宋体"/>
          <w:lang w:val="en-US" w:eastAsia="zh-CN"/>
        </w:rPr>
        <w:t>s natural that the actual repetition number associated with each SSB is different, it may result in different coverage level for each SSB, but it</w:t>
      </w:r>
      <w:r>
        <w:rPr>
          <w:rFonts w:hint="default" w:eastAsia="宋体"/>
          <w:lang w:val="en-US" w:eastAsia="zh-CN"/>
        </w:rPr>
        <w:t>’</w:t>
      </w:r>
      <w:r>
        <w:rPr>
          <w:rFonts w:hint="eastAsia" w:eastAsia="宋体"/>
          <w:lang w:val="en-US" w:eastAsia="zh-CN"/>
        </w:rPr>
        <w:t>s still beneficial for all SSBs. However, even if the unfairness is an issue, we think it can be guaranteed by gNB configuration if necessary, gNB could anyway configure appropriate number of repetitions and there is no need to add further restriction in addition to current spec.</w:t>
      </w:r>
    </w:p>
    <w:p>
      <w:pPr>
        <w:numPr>
          <w:ilvl w:val="255"/>
          <w:numId w:val="0"/>
        </w:numPr>
        <w:jc w:val="both"/>
        <w:rPr>
          <w:lang w:val="en-US" w:eastAsia="zh-CN"/>
        </w:rPr>
      </w:pPr>
      <w:r>
        <w:rPr>
          <w:rFonts w:eastAsia="宋体"/>
          <w:b/>
          <w:bCs/>
          <w:i/>
          <w:iCs/>
          <w:lang w:val="en-US" w:eastAsia="zh-CN"/>
        </w:rPr>
        <w:t xml:space="preserve">Proposal </w:t>
      </w:r>
      <w:r>
        <w:rPr>
          <w:rFonts w:hint="eastAsia" w:eastAsia="宋体"/>
          <w:b/>
          <w:bCs/>
          <w:i/>
          <w:iCs/>
          <w:lang w:val="en-US" w:eastAsia="zh-CN"/>
        </w:rPr>
        <w:t>5</w:t>
      </w:r>
      <w:r>
        <w:rPr>
          <w:rFonts w:eastAsia="宋体"/>
          <w:b/>
          <w:bCs/>
          <w:i/>
          <w:iCs/>
          <w:lang w:val="en-US" w:eastAsia="zh-CN"/>
        </w:rPr>
        <w:t>:</w:t>
      </w:r>
      <w:r>
        <w:rPr>
          <w:rFonts w:hint="eastAsia" w:eastAsia="宋体"/>
          <w:b/>
          <w:bCs/>
          <w:i/>
          <w:iCs/>
          <w:lang w:val="en-US" w:eastAsia="zh-CN"/>
        </w:rPr>
        <w:t xml:space="preserve"> For CG-SDT, </w:t>
      </w:r>
      <w:r>
        <w:rPr>
          <w:rFonts w:hint="eastAsia"/>
          <w:b/>
          <w:bCs/>
          <w:i/>
          <w:iCs/>
          <w:lang w:val="en-US" w:eastAsia="zh-CN"/>
        </w:rPr>
        <w:t>t</w:t>
      </w:r>
      <w:r>
        <w:rPr>
          <w:rFonts w:hint="eastAsia"/>
          <w:b/>
          <w:bCs/>
          <w:i/>
          <w:iCs/>
          <w:lang w:eastAsia="zh-CN"/>
        </w:rPr>
        <w:t>he repetitions are considered as a bundle of transmission occasions that are mapped to the same SSB(s)</w:t>
      </w:r>
      <w:r>
        <w:rPr>
          <w:b/>
          <w:bCs/>
          <w:i/>
          <w:iCs/>
          <w:lang w:eastAsia="zh-CN"/>
        </w:rPr>
        <w:t>.</w:t>
      </w:r>
    </w:p>
    <w:p>
      <w:pPr>
        <w:pStyle w:val="3"/>
        <w:spacing w:before="180" w:after="180" w:line="260" w:lineRule="auto"/>
        <w:jc w:val="both"/>
        <w:rPr>
          <w:lang w:val="en-US" w:eastAsia="zh-CN"/>
        </w:rPr>
      </w:pPr>
      <w:r>
        <w:rPr>
          <w:rFonts w:hint="eastAsia"/>
          <w:lang w:val="en-US" w:eastAsia="zh-CN"/>
        </w:rPr>
        <w:t xml:space="preserve"> Beam change</w:t>
      </w:r>
    </w:p>
    <w:tbl>
      <w:tblPr>
        <w:tblStyle w:val="25"/>
        <w:tblpPr w:leftFromText="180" w:rightFromText="180" w:vertAnchor="text" w:horzAnchor="page" w:tblpX="1542" w:tblpY="4"/>
        <w:tblOverlap w:val="never"/>
        <w:tblW w:w="9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501" w:type="dxa"/>
          </w:tcPr>
          <w:p>
            <w:pPr>
              <w:pStyle w:val="23"/>
              <w:spacing w:before="0" w:beforeAutospacing="0" w:after="0" w:afterAutospacing="0"/>
              <w:jc w:val="both"/>
              <w:rPr>
                <w:rFonts w:ascii="Times" w:hAnsi="Times" w:eastAsia="Malgun Gothic" w:cs="Times"/>
                <w:sz w:val="20"/>
                <w:szCs w:val="20"/>
                <w:lang w:eastAsia="ko-KR"/>
              </w:rPr>
            </w:pPr>
            <w:r>
              <w:rPr>
                <w:rStyle w:val="32"/>
                <w:rFonts w:ascii="Times" w:hAnsi="Times" w:cs="Times"/>
                <w:b/>
                <w:bCs/>
                <w:i w:val="0"/>
                <w:sz w:val="20"/>
                <w:szCs w:val="20"/>
                <w:highlight w:val="green"/>
              </w:rPr>
              <w:t>Agreement</w:t>
            </w:r>
          </w:p>
          <w:p>
            <w:pPr>
              <w:jc w:val="both"/>
              <w:rPr>
                <w:rFonts w:eastAsia="Times New Roman" w:cs="Times"/>
                <w:szCs w:val="20"/>
              </w:rPr>
            </w:pPr>
            <w:r>
              <w:rPr>
                <w:rFonts w:eastAsia="Times New Roman" w:cs="Times"/>
                <w:szCs w:val="20"/>
              </w:rPr>
              <w:t>BFD/BFR procedure is not required for SDT in Rel-17.</w:t>
            </w:r>
          </w:p>
          <w:p>
            <w:pPr>
              <w:numPr>
                <w:ilvl w:val="0"/>
                <w:numId w:val="13"/>
              </w:numPr>
              <w:snapToGrid w:val="0"/>
              <w:jc w:val="both"/>
              <w:rPr>
                <w:lang w:eastAsia="zh-CN"/>
              </w:rPr>
            </w:pPr>
            <w:r>
              <w:rPr>
                <w:rFonts w:eastAsia="Times New Roman"/>
                <w:bCs/>
                <w:szCs w:val="20"/>
              </w:rPr>
              <w:t>FFS: whether or not to support reporting the beam change to gNB.</w:t>
            </w:r>
          </w:p>
        </w:tc>
      </w:tr>
    </w:tbl>
    <w:p>
      <w:pPr>
        <w:keepNext w:val="0"/>
        <w:keepLines w:val="0"/>
        <w:pageBreakBefore w:val="0"/>
        <w:widowControl/>
        <w:kinsoku/>
        <w:wordWrap/>
        <w:overflowPunct/>
        <w:topLinePunct w:val="0"/>
        <w:autoSpaceDE/>
        <w:autoSpaceDN/>
        <w:bidi w:val="0"/>
        <w:adjustRightInd/>
        <w:snapToGrid/>
        <w:spacing w:before="360" w:line="260" w:lineRule="auto"/>
        <w:jc w:val="both"/>
        <w:textAlignment w:val="auto"/>
        <w:rPr>
          <w:rFonts w:hint="default"/>
          <w:lang w:val="en-US" w:eastAsia="zh-CN"/>
        </w:rPr>
      </w:pPr>
      <w:r>
        <w:rPr>
          <w:rFonts w:hint="eastAsia"/>
          <w:lang w:val="en-US" w:eastAsia="zh-CN"/>
        </w:rPr>
        <w:t>For SDT, during the initial CCCH transmission, the beam is implicitly reported to gNB by the selected PRACH occasion/CG PUSCH. However, during the subsequent transmission phase, when the UE moves, the transmission beam may need to change. Since the beam measurement result cannot be reported in inactive state, NW will not update the DL transmission beam. So we think it is necessary to support reporting the beam change to gNB. A possible way is to indicate the preferred DL beam by UCI included in PUSCH transmission.</w:t>
      </w:r>
    </w:p>
    <w:p>
      <w:pPr>
        <w:jc w:val="both"/>
        <w:rPr>
          <w:rFonts w:hint="default" w:eastAsia="等线"/>
          <w:b/>
          <w:i/>
          <w:lang w:val="en-US" w:eastAsia="zh-CN"/>
        </w:rPr>
      </w:pPr>
      <w:r>
        <w:rPr>
          <w:rFonts w:hint="eastAsia" w:eastAsia="等线"/>
          <w:b/>
          <w:i/>
          <w:lang w:val="en-US" w:eastAsia="zh-CN"/>
        </w:rPr>
        <w:t>Proposal 6: Consider to report preferred DL beam by UCI included in PUSCH transmission to gNB.</w:t>
      </w:r>
    </w:p>
    <w:p>
      <w:pPr>
        <w:pStyle w:val="3"/>
        <w:spacing w:before="180" w:after="180" w:line="260" w:lineRule="auto"/>
        <w:jc w:val="both"/>
        <w:rPr>
          <w:lang w:val="en-US" w:eastAsia="zh-CN"/>
        </w:rPr>
      </w:pPr>
      <w:r>
        <w:rPr>
          <w:rFonts w:hint="eastAsia"/>
          <w:lang w:val="en-US" w:eastAsia="zh-CN"/>
        </w:rPr>
        <w:t xml:space="preserve"> CG-SDT for unlicensed band</w:t>
      </w:r>
    </w:p>
    <w:p>
      <w:pPr>
        <w:jc w:val="both"/>
        <w:rPr>
          <w:lang w:val="en-US" w:eastAsia="zh-CN"/>
        </w:rPr>
      </w:pPr>
      <w:r>
        <w:rPr>
          <w:rFonts w:hint="eastAsia"/>
          <w:lang w:val="en-US" w:eastAsia="zh-CN"/>
        </w:rPr>
        <w:t xml:space="preserve">According to work item description in [2], </w:t>
      </w:r>
      <w:r>
        <w:t>the solutions designed for licensed frequency are reused for the unlicensed frequency if applicable.</w:t>
      </w:r>
    </w:p>
    <w:tbl>
      <w:tblPr>
        <w:tblStyle w:val="25"/>
        <w:tblW w:w="9501"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trPr>
        <w:tc>
          <w:tcPr>
            <w:tcW w:w="9501" w:type="dxa"/>
          </w:tcPr>
          <w:p>
            <w:pPr>
              <w:keepNext/>
              <w:keepLines/>
              <w:numPr>
                <w:ilvl w:val="255"/>
                <w:numId w:val="0"/>
              </w:numPr>
              <w:tabs>
                <w:tab w:val="left" w:pos="450"/>
              </w:tabs>
              <w:spacing w:before="180" w:line="260" w:lineRule="auto"/>
              <w:jc w:val="both"/>
              <w:rPr>
                <w:lang w:eastAsia="zh-CN"/>
              </w:rPr>
            </w:pPr>
            <w:r>
              <w:rPr>
                <w:rFonts w:hint="eastAsia"/>
                <w:lang w:val="en-US" w:eastAsia="zh-CN"/>
              </w:rPr>
              <w:t>Focus of the WID should be on licensed carriers and the solutions can be reused for NR-U if applicable.</w:t>
            </w:r>
          </w:p>
        </w:tc>
      </w:tr>
    </w:tbl>
    <w:p>
      <w:pPr>
        <w:numPr>
          <w:ilvl w:val="255"/>
          <w:numId w:val="0"/>
        </w:numPr>
        <w:spacing w:before="180" w:line="260" w:lineRule="auto"/>
        <w:jc w:val="both"/>
        <w:rPr>
          <w:lang w:val="en-US" w:eastAsia="zh-CN"/>
        </w:rPr>
      </w:pPr>
      <w:r>
        <w:rPr>
          <w:rFonts w:hint="eastAsia"/>
          <w:lang w:val="en-US" w:eastAsia="zh-CN"/>
        </w:rPr>
        <w:t>In the WID, it</w:t>
      </w:r>
      <w:r>
        <w:rPr>
          <w:lang w:val="en-US" w:eastAsia="zh-CN"/>
        </w:rPr>
        <w:t>’</w:t>
      </w:r>
      <w:r>
        <w:rPr>
          <w:rFonts w:hint="eastAsia"/>
          <w:lang w:val="en-US" w:eastAsia="zh-CN"/>
        </w:rPr>
        <w:t>s mentioned that the work should focus on licensed band and check if it can be reused for unlicensed band. In RAN2, whether CG-SDT is supported for unlicensed band in Rel-17 is being discussed through email discussion. Considering that there is no RAN2 official meeting in October, and there is only 2 meetings left for RAN1 Rel-17, it</w:t>
      </w:r>
      <w:r>
        <w:rPr>
          <w:lang w:val="en-US" w:eastAsia="zh-CN"/>
        </w:rPr>
        <w:t>’</w:t>
      </w:r>
      <w:r>
        <w:rPr>
          <w:rFonts w:hint="eastAsia"/>
          <w:lang w:val="en-US" w:eastAsia="zh-CN"/>
        </w:rPr>
        <w:t xml:space="preserve">s better for RAN1 to consider whether the solutions in licensed band can be reused in unlicensed band in this meeting. </w:t>
      </w:r>
    </w:p>
    <w:p>
      <w:pPr>
        <w:numPr>
          <w:ilvl w:val="255"/>
          <w:numId w:val="0"/>
        </w:numPr>
        <w:jc w:val="both"/>
        <w:rPr>
          <w:lang w:val="en-US" w:eastAsia="zh-CN"/>
        </w:rPr>
      </w:pPr>
      <w:r>
        <w:rPr>
          <w:rFonts w:hint="eastAsia"/>
          <w:lang w:val="en-US" w:eastAsia="zh-CN"/>
        </w:rPr>
        <w:t>It can be noticed that, the mapping ratio, SSB set determination and other SDT specific parameters are irrelevant with the licensed band or unlicensed band, these solutions can be directly reused for unlicensed band. In addition, in unlicensed band CG configuration, there are some dedicated RRC parameter configurations, such as time domain resource configuration and channel access configuration, these can also be reused for unlicensed band CG-SDT.</w:t>
      </w:r>
    </w:p>
    <w:p>
      <w:pPr>
        <w:pStyle w:val="133"/>
        <w:numPr>
          <w:ilvl w:val="255"/>
          <w:numId w:val="0"/>
        </w:numPr>
        <w:spacing w:afterLines="50"/>
        <w:jc w:val="both"/>
        <w:rPr>
          <w:rFonts w:eastAsia="宋体"/>
          <w:b/>
          <w:bCs/>
          <w:i/>
          <w:iCs/>
          <w:sz w:val="20"/>
          <w:lang w:eastAsia="zh-CN"/>
        </w:rPr>
      </w:pPr>
      <w:r>
        <w:rPr>
          <w:rFonts w:hint="eastAsia" w:eastAsia="宋体"/>
          <w:b/>
          <w:bCs/>
          <w:i/>
          <w:iCs/>
          <w:sz w:val="20"/>
          <w:lang w:eastAsia="zh-CN"/>
        </w:rPr>
        <w:t xml:space="preserve">Proposal </w:t>
      </w:r>
      <w:r>
        <w:rPr>
          <w:rFonts w:hint="eastAsia" w:eastAsia="宋体"/>
          <w:b/>
          <w:bCs/>
          <w:i/>
          <w:iCs/>
          <w:sz w:val="20"/>
          <w:lang w:val="en-US" w:eastAsia="zh-CN"/>
        </w:rPr>
        <w:t>7</w:t>
      </w:r>
      <w:r>
        <w:rPr>
          <w:rFonts w:hint="eastAsia" w:eastAsia="宋体"/>
          <w:b/>
          <w:bCs/>
          <w:i/>
          <w:iCs/>
          <w:sz w:val="20"/>
          <w:lang w:eastAsia="zh-CN"/>
        </w:rPr>
        <w:t>: From RAN1</w:t>
      </w:r>
      <w:r>
        <w:rPr>
          <w:rFonts w:eastAsia="宋体"/>
          <w:b/>
          <w:bCs/>
          <w:i/>
          <w:iCs/>
          <w:sz w:val="20"/>
          <w:lang w:eastAsia="zh-CN"/>
        </w:rPr>
        <w:t>’</w:t>
      </w:r>
      <w:r>
        <w:rPr>
          <w:rFonts w:hint="eastAsia" w:eastAsia="宋体"/>
          <w:b/>
          <w:bCs/>
          <w:i/>
          <w:iCs/>
          <w:sz w:val="20"/>
          <w:lang w:eastAsia="zh-CN"/>
        </w:rPr>
        <w:t>s perspective, if CG-SDT is supported for unlicensed band, the solutions for mapping can be reused for unlicensed band CG-SDT, and the CG configuration in unlicensed band can also be reused for unlicensed band CG-SDT.</w:t>
      </w:r>
    </w:p>
    <w:p>
      <w:pPr>
        <w:pStyle w:val="3"/>
        <w:keepNext/>
        <w:keepLines/>
        <w:pageBreakBefore w:val="0"/>
        <w:widowControl/>
        <w:kinsoku/>
        <w:wordWrap/>
        <w:overflowPunct/>
        <w:topLinePunct w:val="0"/>
        <w:autoSpaceDE/>
        <w:autoSpaceDN/>
        <w:bidi w:val="0"/>
        <w:adjustRightInd/>
        <w:snapToGrid/>
        <w:spacing w:after="240" w:line="260" w:lineRule="auto"/>
        <w:jc w:val="both"/>
        <w:textAlignment w:val="auto"/>
        <w:rPr>
          <w:rFonts w:hint="default"/>
          <w:lang w:val="en-US" w:eastAsia="zh-CN"/>
        </w:rPr>
      </w:pPr>
      <w:r>
        <w:rPr>
          <w:rFonts w:hint="eastAsia"/>
          <w:lang w:val="en-US" w:eastAsia="zh-CN"/>
        </w:rPr>
        <w:t xml:space="preserve"> CSS for CG-SDT</w:t>
      </w:r>
    </w:p>
    <w:tbl>
      <w:tblPr>
        <w:tblStyle w:val="26"/>
        <w:tblW w:w="9550"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0" w:type="dxa"/>
          </w:tcPr>
          <w:p>
            <w:pPr>
              <w:pStyle w:val="23"/>
              <w:spacing w:before="0" w:beforeAutospacing="0" w:after="0" w:afterAutospacing="0"/>
              <w:jc w:val="both"/>
              <w:rPr>
                <w:rFonts w:ascii="Times" w:hAnsi="Times" w:eastAsia="Malgun Gothic" w:cs="Times"/>
                <w:color w:val="auto"/>
                <w:sz w:val="20"/>
                <w:szCs w:val="20"/>
                <w:lang w:eastAsia="ko-KR"/>
              </w:rPr>
            </w:pPr>
            <w:r>
              <w:rPr>
                <w:rStyle w:val="32"/>
                <w:rFonts w:ascii="Times" w:hAnsi="Times" w:cs="Times"/>
                <w:b/>
                <w:bCs/>
                <w:i w:val="0"/>
                <w:color w:val="auto"/>
                <w:sz w:val="20"/>
                <w:szCs w:val="20"/>
                <w:highlight w:val="green"/>
              </w:rPr>
              <w:t>Agreement</w:t>
            </w:r>
          </w:p>
          <w:p>
            <w:pPr>
              <w:pStyle w:val="23"/>
              <w:numPr>
                <w:ilvl w:val="0"/>
                <w:numId w:val="10"/>
              </w:numPr>
              <w:spacing w:before="0" w:beforeAutospacing="0" w:after="0" w:afterAutospacing="0"/>
              <w:jc w:val="both"/>
              <w:rPr>
                <w:rFonts w:ascii="Times" w:hAnsi="Times" w:cs="Times"/>
                <w:color w:val="auto"/>
                <w:sz w:val="20"/>
                <w:szCs w:val="20"/>
              </w:rPr>
            </w:pPr>
            <w:r>
              <w:rPr>
                <w:rFonts w:ascii="Times" w:hAnsi="Times" w:cs="Times"/>
                <w:color w:val="auto"/>
                <w:sz w:val="20"/>
                <w:szCs w:val="20"/>
              </w:rPr>
              <w:t>RAN1 confirms the working assumption in RAN2 that UE-specific search space is configured for UEs performing CG-SDT. </w:t>
            </w:r>
            <w:r>
              <w:rPr>
                <w:rFonts w:ascii="Times" w:hAnsi="Times" w:cs="Times"/>
                <w:color w:val="auto"/>
                <w:sz w:val="20"/>
                <w:szCs w:val="20"/>
                <w:highlight w:val="yellow"/>
              </w:rPr>
              <w:t>This does not exclude the configuration of CSS for UEs performing CG-SDT.</w:t>
            </w:r>
          </w:p>
          <w:p>
            <w:pPr>
              <w:pStyle w:val="23"/>
              <w:numPr>
                <w:ilvl w:val="0"/>
                <w:numId w:val="10"/>
              </w:numPr>
              <w:spacing w:before="0" w:beforeAutospacing="0" w:after="0" w:afterAutospacing="0"/>
              <w:jc w:val="both"/>
              <w:rPr>
                <w:rFonts w:hint="default"/>
                <w:vertAlign w:val="baseline"/>
                <w:lang w:val="en-US" w:eastAsia="zh-CN"/>
              </w:rPr>
            </w:pPr>
            <w:r>
              <w:rPr>
                <w:rFonts w:ascii="Times" w:hAnsi="Times" w:cs="Times"/>
                <w:color w:val="auto"/>
                <w:sz w:val="20"/>
                <w:szCs w:val="20"/>
              </w:rPr>
              <w:t>CORESET for UE performing RA-SDT should be a common CORESET.</w:t>
            </w:r>
          </w:p>
        </w:tc>
      </w:tr>
    </w:tbl>
    <w:p>
      <w:pPr>
        <w:pStyle w:val="16"/>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default" w:eastAsia="宋体"/>
          <w:lang w:val="en-US" w:eastAsia="zh-CN"/>
        </w:rPr>
      </w:pPr>
      <w:r>
        <w:rPr>
          <w:rFonts w:hint="eastAsia" w:eastAsia="宋体"/>
          <w:lang w:val="en-US" w:eastAsia="zh-CN"/>
        </w:rPr>
        <w:t>As agreed above, UE specific search space is configured for UEs performing CG-SDT. Besides, this does not exclude the configuration of CSS for performing CG-SDT. As we know, for RA-SDT, separate search space can be configured for subsequent transmission. Then if separate search space is configured, when CG-SDT is triggered, we think it is also used for CG-SDT in addition to UE specific search space.</w:t>
      </w:r>
    </w:p>
    <w:p>
      <w:pPr>
        <w:pStyle w:val="133"/>
        <w:numPr>
          <w:ilvl w:val="255"/>
          <w:numId w:val="0"/>
        </w:numPr>
        <w:spacing w:afterLines="50"/>
        <w:jc w:val="both"/>
        <w:rPr>
          <w:rFonts w:hint="default"/>
          <w:lang w:val="en-US" w:eastAsia="zh-CN"/>
        </w:rPr>
      </w:pPr>
      <w:r>
        <w:rPr>
          <w:rFonts w:hint="eastAsia" w:eastAsia="宋体"/>
          <w:b/>
          <w:bCs/>
          <w:i/>
          <w:iCs/>
          <w:sz w:val="20"/>
          <w:lang w:eastAsia="zh-CN"/>
        </w:rPr>
        <w:t xml:space="preserve">Proposal </w:t>
      </w:r>
      <w:r>
        <w:rPr>
          <w:rFonts w:hint="eastAsia" w:eastAsia="宋体"/>
          <w:b/>
          <w:bCs/>
          <w:i/>
          <w:iCs/>
          <w:sz w:val="20"/>
          <w:lang w:val="en-US" w:eastAsia="zh-CN"/>
        </w:rPr>
        <w:t>8</w:t>
      </w:r>
      <w:r>
        <w:rPr>
          <w:rFonts w:hint="eastAsia" w:eastAsia="宋体"/>
          <w:b/>
          <w:bCs/>
          <w:i/>
          <w:iCs/>
          <w:sz w:val="20"/>
          <w:lang w:eastAsia="zh-CN"/>
        </w:rPr>
        <w:t xml:space="preserve">: </w:t>
      </w:r>
      <w:r>
        <w:rPr>
          <w:rFonts w:hint="eastAsia" w:eastAsia="宋体"/>
          <w:b/>
          <w:bCs/>
          <w:i/>
          <w:iCs/>
          <w:sz w:val="20"/>
          <w:lang w:val="en-US" w:eastAsia="zh-CN"/>
        </w:rPr>
        <w:t>Separate common search space for RA-SDT can also be used for CG-SDT.</w:t>
      </w:r>
    </w:p>
    <w:p>
      <w:pPr>
        <w:pStyle w:val="3"/>
        <w:bidi w:val="0"/>
        <w:jc w:val="both"/>
        <w:rPr>
          <w:rFonts w:hint="default"/>
          <w:lang w:val="en-US" w:eastAsia="zh-CN"/>
        </w:rPr>
      </w:pPr>
      <w:r>
        <w:rPr>
          <w:rFonts w:hint="eastAsia"/>
          <w:lang w:val="en-US" w:eastAsia="zh-CN"/>
        </w:rPr>
        <w:t xml:space="preserve"> RRC parameter discussion</w:t>
      </w:r>
    </w:p>
    <w:p>
      <w:pPr>
        <w:pStyle w:val="4"/>
        <w:bidi w:val="0"/>
        <w:jc w:val="both"/>
      </w:pPr>
      <w:r>
        <w:rPr>
          <w:rFonts w:hint="eastAsia" w:eastAsia="宋体"/>
          <w:lang w:val="en-US" w:eastAsia="zh-CN"/>
        </w:rPr>
        <w:t xml:space="preserve"> BWP level configuration</w:t>
      </w:r>
    </w:p>
    <w:p>
      <w:pPr>
        <w:jc w:val="both"/>
        <w:rPr>
          <w:rFonts w:hint="default" w:eastAsia="宋体"/>
          <w:lang w:val="en-US" w:eastAsia="zh-CN"/>
        </w:rPr>
      </w:pPr>
      <w:r>
        <w:rPr>
          <w:rFonts w:hint="eastAsia" w:eastAsia="宋体"/>
          <w:lang w:val="en-US" w:eastAsia="zh-CN"/>
        </w:rPr>
        <w:t>For CG-SDT, the CG configuration is UE specifically configured, it</w:t>
      </w:r>
      <w:r>
        <w:rPr>
          <w:rFonts w:hint="default" w:eastAsia="宋体"/>
          <w:lang w:val="en-US" w:eastAsia="zh-CN"/>
        </w:rPr>
        <w:t>’</w:t>
      </w:r>
      <w:r>
        <w:rPr>
          <w:rFonts w:hint="eastAsia" w:eastAsia="宋体"/>
          <w:lang w:val="en-US" w:eastAsia="zh-CN"/>
        </w:rPr>
        <w:t xml:space="preserve">s natural to configure UE specific BWP level configuration for CG-SDT. In current spec, the two IEs </w:t>
      </w:r>
      <w:r>
        <w:rPr>
          <w:i/>
        </w:rPr>
        <w:t>BWP-DownlinkDedicated</w:t>
      </w:r>
      <w:r>
        <w:rPr>
          <w:rFonts w:hint="eastAsia" w:eastAsia="宋体"/>
          <w:i w:val="0"/>
          <w:iCs/>
          <w:lang w:val="en-US" w:eastAsia="zh-CN"/>
        </w:rPr>
        <w:t xml:space="preserve"> and </w:t>
      </w:r>
      <w:r>
        <w:rPr>
          <w:i/>
        </w:rPr>
        <w:t>BWP-UplinkDedicated</w:t>
      </w:r>
      <w:r>
        <w:rPr>
          <w:rFonts w:hint="eastAsia" w:eastAsia="宋体"/>
          <w:i w:val="0"/>
          <w:iCs/>
          <w:lang w:val="en-US" w:eastAsia="zh-CN"/>
        </w:rPr>
        <w:t xml:space="preserve"> are used to </w:t>
      </w:r>
      <w:r>
        <w:t xml:space="preserve">configure the dedicated (UE specific) parameters of a </w:t>
      </w:r>
      <w:r>
        <w:rPr>
          <w:rFonts w:hint="eastAsia" w:eastAsia="宋体"/>
          <w:lang w:val="en-US" w:eastAsia="zh-CN"/>
        </w:rPr>
        <w:t xml:space="preserve">downlink and </w:t>
      </w:r>
      <w:r>
        <w:t>uplink BWP</w:t>
      </w:r>
      <w:r>
        <w:rPr>
          <w:rFonts w:hint="eastAsia" w:eastAsia="宋体"/>
          <w:lang w:val="en-US" w:eastAsia="zh-CN"/>
        </w:rPr>
        <w:t xml:space="preserve"> respectively, it should be noted that these parameters within the two IE can also be configured in initial BWP. Once CG-SDT is initiated, the UE will simply active the initial BWP. It means that these dedicated configurations may be used. From the perspective of simplicity, there is no necessity to use them for the UE in inactive state. Hence, if the current structure is reused, some restrictions need to be added in the field description, e.g. </w:t>
      </w:r>
      <w:r>
        <w:t>pucch-Config</w:t>
      </w:r>
      <w:r>
        <w:rPr>
          <w:rFonts w:hint="eastAsia" w:eastAsia="宋体"/>
          <w:lang w:val="en-US" w:eastAsia="zh-CN"/>
        </w:rPr>
        <w:t xml:space="preserve"> and </w:t>
      </w:r>
      <w:r>
        <w:rPr>
          <w:i/>
          <w:iCs/>
        </w:rPr>
        <w:t>beamFailureRecoveryConfig</w:t>
      </w:r>
      <w:r>
        <w:rPr>
          <w:rFonts w:hint="eastAsia" w:eastAsia="宋体"/>
          <w:lang w:val="en-US" w:eastAsia="zh-CN"/>
        </w:rPr>
        <w:t xml:space="preserve"> in </w:t>
      </w:r>
      <w:r>
        <w:rPr>
          <w:i/>
        </w:rPr>
        <w:t>BWP-UplinkDedicated</w:t>
      </w:r>
      <w:r>
        <w:rPr>
          <w:rFonts w:hint="eastAsia" w:eastAsia="宋体"/>
          <w:lang w:val="en-US" w:eastAsia="zh-CN"/>
        </w:rPr>
        <w:t xml:space="preserve"> is not applicable for CG-SDT.</w:t>
      </w:r>
    </w:p>
    <w:p>
      <w:pPr>
        <w:jc w:val="both"/>
        <w:rPr>
          <w:rFonts w:hint="eastAsia" w:eastAsia="宋体"/>
          <w:i w:val="0"/>
          <w:iCs w:val="0"/>
          <w:lang w:val="en-US" w:eastAsia="zh-CN"/>
        </w:rPr>
      </w:pPr>
      <w:r>
        <w:rPr>
          <w:rFonts w:hint="eastAsia" w:eastAsia="宋体"/>
          <w:lang w:val="en-US" w:eastAsia="zh-CN"/>
        </w:rPr>
        <w:t xml:space="preserve">Another simple way is to define a new BWP level configuration to configure CG-SDT resources, e.g. </w:t>
      </w:r>
      <w:r>
        <w:rPr>
          <w:rFonts w:hint="eastAsia" w:eastAsia="宋体"/>
          <w:i/>
          <w:iCs/>
          <w:lang w:val="en-US" w:eastAsia="zh-CN"/>
        </w:rPr>
        <w:t>SDT-</w:t>
      </w:r>
      <w:r>
        <w:rPr>
          <w:i/>
          <w:iCs/>
        </w:rPr>
        <w:t>BWP-DownlinkDedicated</w:t>
      </w:r>
      <w:r>
        <w:rPr>
          <w:rFonts w:hint="eastAsia" w:eastAsia="宋体"/>
          <w:i w:val="0"/>
          <w:iCs/>
          <w:lang w:val="en-US" w:eastAsia="zh-CN"/>
        </w:rPr>
        <w:t xml:space="preserve"> and </w:t>
      </w:r>
      <w:r>
        <w:rPr>
          <w:rFonts w:hint="eastAsia" w:eastAsia="宋体"/>
          <w:i/>
          <w:iCs/>
          <w:lang w:val="en-US" w:eastAsia="zh-CN"/>
        </w:rPr>
        <w:t>SDT-</w:t>
      </w:r>
      <w:r>
        <w:rPr>
          <w:i/>
          <w:iCs/>
        </w:rPr>
        <w:t>BWP-</w:t>
      </w:r>
      <w:r>
        <w:rPr>
          <w:rFonts w:hint="eastAsia" w:eastAsia="宋体"/>
          <w:i/>
          <w:iCs/>
          <w:lang w:val="en-US" w:eastAsia="zh-CN"/>
        </w:rPr>
        <w:t>Up</w:t>
      </w:r>
      <w:r>
        <w:rPr>
          <w:i/>
          <w:iCs/>
        </w:rPr>
        <w:t>linkDedicated</w:t>
      </w:r>
      <w:r>
        <w:rPr>
          <w:rFonts w:hint="eastAsia" w:eastAsia="宋体"/>
          <w:i w:val="0"/>
          <w:iCs w:val="0"/>
          <w:lang w:val="en-US" w:eastAsia="zh-CN"/>
        </w:rPr>
        <w:t>, in this way only SDT related parameters can be configured in th</w:t>
      </w:r>
      <w:r>
        <w:rPr>
          <w:rFonts w:hint="eastAsia" w:eastAsia="宋体"/>
          <w:i w:val="0"/>
          <w:iCs w:val="0"/>
          <w:highlight w:val="none"/>
          <w:lang w:val="en-US" w:eastAsia="zh-CN"/>
        </w:rPr>
        <w:t>ese IEs,</w:t>
      </w:r>
      <w:r>
        <w:rPr>
          <w:rFonts w:hint="eastAsia" w:eastAsia="宋体"/>
          <w:i w:val="0"/>
          <w:iCs w:val="0"/>
          <w:lang w:val="en-US" w:eastAsia="zh-CN"/>
        </w:rPr>
        <w:t xml:space="preserve"> including UE specific search space for BWP. It</w:t>
      </w:r>
      <w:r>
        <w:rPr>
          <w:rFonts w:hint="default" w:eastAsia="宋体"/>
          <w:i w:val="0"/>
          <w:iCs w:val="0"/>
          <w:lang w:val="en-US" w:eastAsia="zh-CN"/>
        </w:rPr>
        <w:t>’</w:t>
      </w:r>
      <w:r>
        <w:rPr>
          <w:rFonts w:hint="eastAsia" w:eastAsia="宋体"/>
          <w:i w:val="0"/>
          <w:iCs w:val="0"/>
          <w:lang w:val="en-US" w:eastAsia="zh-CN"/>
        </w:rPr>
        <w:t xml:space="preserve">s up to RAN2 to formulate the details of the IE structure. </w:t>
      </w:r>
    </w:p>
    <w:p>
      <w:pPr>
        <w:jc w:val="both"/>
        <w:rPr>
          <w:rFonts w:hint="eastAsia" w:eastAsia="宋体"/>
          <w:b/>
          <w:bCs/>
          <w:i/>
          <w:iCs/>
          <w:lang w:val="en-US" w:eastAsia="zh-CN"/>
        </w:rPr>
      </w:pPr>
      <w:r>
        <w:rPr>
          <w:rFonts w:hint="eastAsia" w:eastAsia="宋体"/>
          <w:b/>
          <w:bCs/>
          <w:i/>
          <w:iCs/>
          <w:lang w:val="en-US" w:eastAsia="zh-CN"/>
        </w:rPr>
        <w:t>Proposal 9: The following options can be considered for configuration of CG-SDT:</w:t>
      </w:r>
    </w:p>
    <w:p>
      <w:pPr>
        <w:numPr>
          <w:ilvl w:val="0"/>
          <w:numId w:val="14"/>
        </w:numPr>
        <w:ind w:left="720" w:leftChars="0" w:hanging="360" w:firstLineChars="0"/>
        <w:jc w:val="both"/>
        <w:rPr>
          <w:rFonts w:hint="default" w:eastAsia="宋体"/>
          <w:b/>
          <w:bCs/>
          <w:i/>
          <w:iCs/>
          <w:lang w:val="en-US" w:eastAsia="zh-CN"/>
        </w:rPr>
      </w:pPr>
      <w:r>
        <w:rPr>
          <w:rFonts w:hint="eastAsia" w:eastAsia="宋体"/>
          <w:b/>
          <w:bCs/>
          <w:i/>
          <w:iCs/>
          <w:lang w:val="en-US" w:eastAsia="zh-CN"/>
        </w:rPr>
        <w:t>Option 1: Reuse existing BWP dedicated configuration (i.e. BWP-DownlinkDedicated and BWP-UplinkDedicated) for CG-SDT and clarify in RAN1 which parameters (e.g. pucch-Config, beamFailureRecoveryConfig) are applicable to CONNECTED mode only and should be ignored in CG-SDT operation.</w:t>
      </w:r>
    </w:p>
    <w:p>
      <w:pPr>
        <w:numPr>
          <w:ilvl w:val="0"/>
          <w:numId w:val="14"/>
        </w:numPr>
        <w:ind w:left="720" w:leftChars="0" w:hanging="360" w:firstLineChars="0"/>
        <w:jc w:val="both"/>
        <w:rPr>
          <w:rFonts w:hint="default" w:eastAsia="宋体"/>
          <w:b/>
          <w:bCs/>
          <w:i/>
          <w:iCs/>
          <w:lang w:val="en-US" w:eastAsia="zh-CN"/>
        </w:rPr>
      </w:pPr>
      <w:r>
        <w:rPr>
          <w:rFonts w:hint="eastAsia" w:eastAsia="宋体"/>
          <w:b/>
          <w:bCs/>
          <w:i/>
          <w:iCs/>
          <w:lang w:val="en-US" w:eastAsia="zh-CN"/>
        </w:rPr>
        <w:t>Option 2: Define/use a new BWP dedicated (i.e. BWP-DownlinkDedicatedSDT and BWP-UplinkDedicatedSDT )configuration for SDT instead of the legacy one. RAN1 needs to identify the parameter list for the new SDT specific BWP dedicated configuration, and ask RAN2 to formulate the details of the IE structure.</w:t>
      </w:r>
    </w:p>
    <w:p>
      <w:pPr>
        <w:pStyle w:val="4"/>
        <w:bidi w:val="0"/>
        <w:jc w:val="both"/>
        <w:rPr>
          <w:rFonts w:hint="default"/>
          <w:lang w:val="en-US" w:eastAsia="zh-CN"/>
        </w:rPr>
      </w:pPr>
      <w:r>
        <w:rPr>
          <w:rFonts w:hint="eastAsia"/>
          <w:lang w:val="en-US" w:eastAsia="zh-CN"/>
        </w:rPr>
        <w:t xml:space="preserve"> Power control</w:t>
      </w:r>
    </w:p>
    <w:p>
      <w:pPr>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default" w:eastAsia="宋体"/>
          <w:lang w:val="en-US" w:eastAsia="zh-CN"/>
        </w:rPr>
      </w:pPr>
      <w:r>
        <w:rPr>
          <w:rFonts w:hint="eastAsia" w:eastAsia="宋体"/>
          <w:lang w:val="en-US" w:eastAsia="zh-CN"/>
        </w:rPr>
        <w:t>In RAN2 #115, for power control parameters, the related agreements were as below.</w:t>
      </w:r>
    </w:p>
    <w:tbl>
      <w:tblPr>
        <w:tblStyle w:val="26"/>
        <w:tblW w:w="952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tcW w:w="9520" w:type="dxa"/>
          </w:tcPr>
          <w:p>
            <w:pPr>
              <w:pStyle w:val="38"/>
              <w:ind w:left="563" w:leftChars="100"/>
              <w:jc w:val="both"/>
              <w:rPr>
                <w:rFonts w:hint="default" w:eastAsia="宋体"/>
                <w:vertAlign w:val="baseline"/>
                <w:lang w:val="en-US" w:eastAsia="zh-CN"/>
              </w:rPr>
            </w:pPr>
            <w:r>
              <w:rPr>
                <w:rFonts w:hint="eastAsia" w:ascii="Times New Roman" w:hAnsi="Times New Roman" w:eastAsia="Times New Roman" w:cs="Times New Roman"/>
                <w:b/>
                <w:bCs/>
                <w:szCs w:val="20"/>
                <w:lang w:val="en-US" w:eastAsia="zh-CN" w:bidi="ar-SA"/>
              </w:rPr>
              <w:t>Agreements</w:t>
            </w:r>
            <w:r>
              <w:rPr>
                <w:rFonts w:hint="eastAsia" w:ascii="Times New Roman" w:hAnsi="Times New Roman" w:eastAsia="Times New Roman" w:cs="Times New Roman"/>
                <w:szCs w:val="20"/>
                <w:lang w:val="en-US" w:eastAsia="zh-CN" w:bidi="ar-SA"/>
              </w:rPr>
              <w:t xml:space="preserve"> </w:t>
            </w:r>
          </w:p>
          <w:p>
            <w:pPr>
              <w:pStyle w:val="38"/>
              <w:numPr>
                <w:ilvl w:val="0"/>
                <w:numId w:val="15"/>
              </w:numPr>
              <w:tabs>
                <w:tab w:val="clear" w:pos="1622"/>
              </w:tabs>
              <w:ind w:left="1019" w:leftChars="0" w:hanging="819" w:firstLineChars="0"/>
              <w:rPr>
                <w:rFonts w:hint="default" w:ascii="Times New Roman" w:hAnsi="Times New Roman" w:cs="Times New Roman"/>
              </w:rPr>
            </w:pPr>
            <w:r>
              <w:rPr>
                <w:rFonts w:hint="default" w:ascii="Times New Roman" w:hAnsi="Times New Roman" w:cs="Times New Roman"/>
              </w:rPr>
              <w:t xml:space="preserve">At least the following parameters can be RA-SDT specific. </w:t>
            </w:r>
          </w:p>
          <w:p>
            <w:pPr>
              <w:pStyle w:val="38"/>
              <w:numPr>
                <w:ilvl w:val="2"/>
                <w:numId w:val="16"/>
              </w:numPr>
              <w:tabs>
                <w:tab w:val="clear" w:pos="1622"/>
              </w:tabs>
              <w:ind w:left="800" w:leftChars="400" w:firstLine="0" w:firstLineChars="0"/>
              <w:rPr>
                <w:rFonts w:hint="default" w:ascii="Times New Roman" w:hAnsi="Times New Roman" w:cs="Times New Roman"/>
              </w:rPr>
            </w:pPr>
            <w:r>
              <w:rPr>
                <w:rFonts w:hint="default" w:ascii="Times New Roman" w:hAnsi="Times New Roman" w:cs="Times New Roman"/>
              </w:rPr>
              <w:t>SSB selection related parameters, i.e., rsrp-ThresholdSSB, msgA-RSRP-ThresholdSSB.</w:t>
            </w:r>
          </w:p>
          <w:p>
            <w:pPr>
              <w:pStyle w:val="38"/>
              <w:numPr>
                <w:ilvl w:val="2"/>
                <w:numId w:val="16"/>
              </w:numPr>
              <w:tabs>
                <w:tab w:val="clear" w:pos="1622"/>
              </w:tabs>
              <w:ind w:left="800" w:leftChars="400" w:firstLine="0" w:firstLineChars="0"/>
              <w:rPr>
                <w:rFonts w:hint="default" w:eastAsia="宋体"/>
                <w:vertAlign w:val="baseline"/>
                <w:lang w:val="en-US" w:eastAsia="zh-CN"/>
              </w:rPr>
            </w:pPr>
            <w:r>
              <w:rPr>
                <w:rFonts w:hint="default" w:ascii="Times New Roman" w:hAnsi="Times New Roman" w:cs="Times New Roman"/>
              </w:rPr>
              <w:t xml:space="preserve">Power control related parameters, i.e., preambleReceivedTargetPower/gA-PreambleReceivedTargetPower, powerRampingStep/msgA-PreamblePowerRampingStep,  msg3-DeltaPreamble/msgA-DeltaPreamble. </w:t>
            </w:r>
          </w:p>
        </w:tc>
      </w:tr>
    </w:tbl>
    <w:p>
      <w:pPr>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default" w:eastAsia="宋体"/>
          <w:lang w:val="en-US" w:eastAsia="zh-CN"/>
        </w:rPr>
      </w:pPr>
      <w:r>
        <w:rPr>
          <w:rFonts w:hint="eastAsia" w:eastAsia="宋体"/>
          <w:lang w:val="en-US" w:eastAsia="zh-CN"/>
        </w:rPr>
        <w:t>According to RAN2</w:t>
      </w:r>
      <w:r>
        <w:rPr>
          <w:rFonts w:hint="default" w:eastAsia="宋体"/>
          <w:lang w:val="en-US" w:eastAsia="zh-CN"/>
        </w:rPr>
        <w:t>’</w:t>
      </w:r>
      <w:r>
        <w:rPr>
          <w:rFonts w:hint="eastAsia" w:eastAsia="宋体"/>
          <w:lang w:val="en-US" w:eastAsia="zh-CN"/>
        </w:rPr>
        <w:t xml:space="preserve">s agreements, for RA-SDT, power control related parameters are RA-SDT specific. It means that power control parameters can be separately configured for RA-SDT. </w:t>
      </w:r>
    </w:p>
    <w:p>
      <w:pPr>
        <w:jc w:val="both"/>
        <w:rPr>
          <w:rFonts w:hint="default" w:eastAsia="宋体"/>
          <w:lang w:val="en-US" w:eastAsia="zh-CN"/>
        </w:rPr>
      </w:pPr>
      <w:r>
        <w:rPr>
          <w:rFonts w:hint="eastAsia" w:eastAsia="宋体"/>
          <w:lang w:val="en-US" w:eastAsia="zh-CN"/>
        </w:rPr>
        <w:t>In RAN1 # 106, regarding power control parameters, the following agreements were reached.</w:t>
      </w:r>
    </w:p>
    <w:tbl>
      <w:tblPr>
        <w:tblStyle w:val="26"/>
        <w:tblW w:w="9523"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9523" w:type="dxa"/>
          </w:tcPr>
          <w:p>
            <w:pPr>
              <w:widowControl w:val="0"/>
              <w:wordWrap w:val="0"/>
              <w:jc w:val="both"/>
              <w:rPr>
                <w:b/>
                <w:color w:val="FF0000"/>
                <w:highlight w:val="yellow"/>
                <w:u w:val="single"/>
                <w:lang w:eastAsia="ko-KR"/>
              </w:rPr>
            </w:pPr>
            <w:r>
              <w:rPr>
                <w:b/>
                <w:bCs/>
                <w:highlight w:val="green"/>
                <w:lang w:eastAsia="zh-CN"/>
              </w:rPr>
              <w:t>Agreement:</w:t>
            </w:r>
          </w:p>
          <w:p>
            <w:pPr>
              <w:pStyle w:val="136"/>
              <w:widowControl w:val="0"/>
              <w:numPr>
                <w:ilvl w:val="0"/>
                <w:numId w:val="17"/>
              </w:numPr>
              <w:ind w:left="820" w:leftChars="0" w:firstLineChars="0"/>
              <w:jc w:val="both"/>
            </w:pPr>
            <w:r>
              <w:rPr>
                <w:sz w:val="20"/>
                <w:szCs w:val="20"/>
              </w:rPr>
              <w:t xml:space="preserve">For RA-SDT in shared ROs and separate ROs with non-SDT, the power control parameters follow those for non-SDT, </w:t>
            </w:r>
          </w:p>
          <w:p>
            <w:pPr>
              <w:pStyle w:val="136"/>
              <w:widowControl w:val="0"/>
              <w:numPr>
                <w:ilvl w:val="0"/>
                <w:numId w:val="0"/>
              </w:numPr>
              <w:ind w:firstLine="800" w:firstLineChars="400"/>
              <w:jc w:val="both"/>
              <w:rPr>
                <w:rFonts w:hint="default" w:eastAsia="宋体"/>
                <w:vertAlign w:val="baseline"/>
                <w:lang w:val="en-US" w:eastAsia="zh-CN"/>
              </w:rPr>
            </w:pPr>
            <w:r>
              <w:rPr>
                <w:rFonts w:hint="eastAsia" w:eastAsia="宋体"/>
                <w:sz w:val="20"/>
                <w:szCs w:val="20"/>
                <w:lang w:val="en-US" w:eastAsia="zh-CN"/>
              </w:rPr>
              <w:t xml:space="preserve">- </w:t>
            </w:r>
            <w:r>
              <w:rPr>
                <w:sz w:val="20"/>
                <w:szCs w:val="20"/>
              </w:rPr>
              <w:t xml:space="preserve">i.e. </w:t>
            </w:r>
            <w:r>
              <w:rPr>
                <w:sz w:val="20"/>
                <w:szCs w:val="20"/>
                <w:highlight w:val="yellow"/>
              </w:rPr>
              <w:t>preambleReceivedTargetPower and power ramping setting follow those for non-SDT</w:t>
            </w:r>
            <w:r>
              <w:rPr>
                <w:sz w:val="20"/>
                <w:szCs w:val="20"/>
              </w:rPr>
              <w:t>.</w:t>
            </w:r>
          </w:p>
        </w:tc>
      </w:tr>
    </w:tbl>
    <w:p>
      <w:pPr>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default"/>
          <w:lang w:val="en-US" w:eastAsia="zh-CN"/>
        </w:rPr>
      </w:pPr>
      <w:r>
        <w:rPr>
          <w:rFonts w:hint="eastAsia" w:eastAsia="宋体"/>
          <w:lang w:val="en-US" w:eastAsia="zh-CN"/>
        </w:rPr>
        <w:t>According to the agreements a</w:t>
      </w:r>
      <w:r>
        <w:rPr>
          <w:rFonts w:hint="eastAsia" w:eastAsia="宋体"/>
          <w:highlight w:val="none"/>
          <w:lang w:val="en-US" w:eastAsia="zh-CN"/>
        </w:rPr>
        <w:t xml:space="preserve">bove, for RA-SDT, </w:t>
      </w:r>
      <w:r>
        <w:rPr>
          <w:sz w:val="20"/>
          <w:szCs w:val="20"/>
          <w:highlight w:val="none"/>
        </w:rPr>
        <w:t>preambleReceivedTargetPower and power ramping setting</w:t>
      </w:r>
      <w:r>
        <w:rPr>
          <w:rFonts w:hint="eastAsia" w:eastAsia="宋体"/>
          <w:sz w:val="20"/>
          <w:szCs w:val="20"/>
          <w:highlight w:val="none"/>
          <w:lang w:val="en-US" w:eastAsia="zh-CN"/>
        </w:rPr>
        <w:t xml:space="preserve"> follow those for non-SDT. It means that RA-SDT will use power control parameters configured for non-SDT, which is not consistent with RAN2</w:t>
      </w:r>
      <w:r>
        <w:rPr>
          <w:rFonts w:hint="default" w:eastAsia="宋体"/>
          <w:sz w:val="20"/>
          <w:szCs w:val="20"/>
          <w:highlight w:val="none"/>
          <w:lang w:val="en-US" w:eastAsia="zh-CN"/>
        </w:rPr>
        <w:t>’</w:t>
      </w:r>
      <w:r>
        <w:rPr>
          <w:rFonts w:hint="eastAsia" w:eastAsia="宋体"/>
          <w:sz w:val="20"/>
          <w:szCs w:val="20"/>
          <w:highlight w:val="none"/>
          <w:lang w:val="en-US" w:eastAsia="zh-CN"/>
        </w:rPr>
        <w:t xml:space="preserve">s agreements. We think it is better to keep the unified understanding for  those power control parameters. </w:t>
      </w:r>
    </w:p>
    <w:p>
      <w:pPr>
        <w:pStyle w:val="133"/>
        <w:numPr>
          <w:ilvl w:val="255"/>
          <w:numId w:val="0"/>
        </w:numPr>
        <w:spacing w:afterLines="50"/>
        <w:jc w:val="both"/>
        <w:rPr>
          <w:rFonts w:hint="default" w:eastAsia="宋体"/>
          <w:b/>
          <w:bCs/>
          <w:i/>
          <w:iCs/>
          <w:sz w:val="20"/>
          <w:szCs w:val="20"/>
          <w:lang w:val="en-US" w:eastAsia="zh-CN"/>
        </w:rPr>
      </w:pPr>
      <w:r>
        <w:rPr>
          <w:rFonts w:hint="eastAsia" w:eastAsia="宋体"/>
          <w:b/>
          <w:bCs/>
          <w:i/>
          <w:iCs/>
          <w:sz w:val="20"/>
          <w:szCs w:val="20"/>
          <w:lang w:val="en-US" w:eastAsia="zh-CN"/>
        </w:rPr>
        <w:t>Proposal 10: Align the understanding of RAN1 and RAN2 on power control parameters for RA-SDT.</w:t>
      </w:r>
    </w:p>
    <w:p>
      <w:pPr>
        <w:jc w:val="both"/>
        <w:rPr>
          <w:rFonts w:hint="eastAsia" w:eastAsia="宋体"/>
          <w:i w:val="0"/>
          <w:iCs w:val="0"/>
          <w:lang w:val="en-US" w:eastAsia="zh-CN"/>
        </w:rPr>
      </w:pPr>
      <w:r>
        <w:rPr>
          <w:rFonts w:hint="eastAsia" w:eastAsia="宋体"/>
          <w:lang w:val="en-US" w:eastAsia="zh-CN"/>
        </w:rPr>
        <w:t xml:space="preserve">For CG configuration, the power control parameter </w:t>
      </w:r>
      <w:r>
        <w:rPr>
          <w:i/>
          <w:iCs/>
          <w:highlight w:val="none"/>
        </w:rPr>
        <w:t>p0-PUSCH-Alpha</w:t>
      </w:r>
      <w:r>
        <w:rPr>
          <w:rFonts w:hint="eastAsia" w:eastAsia="宋体"/>
          <w:highlight w:val="none"/>
          <w:lang w:val="en-US" w:eastAsia="zh-CN"/>
        </w:rPr>
        <w:t xml:space="preserve"> is the index from </w:t>
      </w:r>
      <w:r>
        <w:rPr>
          <w:i/>
          <w:lang w:eastAsia="sv-SE"/>
        </w:rPr>
        <w:t>P0-PUSCH-AlphaSet</w:t>
      </w:r>
      <w:r>
        <w:rPr>
          <w:rFonts w:hint="eastAsia" w:eastAsia="宋体"/>
          <w:i/>
          <w:lang w:val="en-US" w:eastAsia="zh-CN"/>
        </w:rPr>
        <w:t xml:space="preserve"> </w:t>
      </w:r>
      <w:r>
        <w:rPr>
          <w:rFonts w:hint="eastAsia" w:eastAsia="宋体"/>
          <w:i w:val="0"/>
          <w:iCs/>
          <w:lang w:val="en-US" w:eastAsia="zh-CN"/>
        </w:rPr>
        <w:t xml:space="preserve">in </w:t>
      </w:r>
      <w:r>
        <w:rPr>
          <w:i/>
          <w:iCs/>
        </w:rPr>
        <w:t>PUSCH-PowerControl</w:t>
      </w:r>
      <w:r>
        <w:rPr>
          <w:rFonts w:hint="eastAsia" w:eastAsia="宋体"/>
          <w:i w:val="0"/>
          <w:iCs w:val="0"/>
          <w:lang w:val="en-US" w:eastAsia="zh-CN"/>
        </w:rPr>
        <w:t xml:space="preserve">. If  </w:t>
      </w:r>
      <w:r>
        <w:rPr>
          <w:i/>
          <w:lang w:eastAsia="sv-SE"/>
        </w:rPr>
        <w:t>P0-PUSCH-AlphaSet</w:t>
      </w:r>
      <w:r>
        <w:rPr>
          <w:rFonts w:hint="eastAsia" w:eastAsia="宋体"/>
          <w:i/>
          <w:lang w:val="en-US" w:eastAsia="zh-CN"/>
        </w:rPr>
        <w:t xml:space="preserve"> </w:t>
      </w:r>
      <w:r>
        <w:rPr>
          <w:rFonts w:hint="eastAsia" w:eastAsia="宋体"/>
          <w:i w:val="0"/>
          <w:iCs w:val="0"/>
          <w:lang w:val="en-US" w:eastAsia="zh-CN"/>
        </w:rPr>
        <w:t xml:space="preserve"> is not configured, the power control parameter used for CG PUSCH transmission can not be obtained. </w:t>
      </w:r>
    </w:p>
    <w:p>
      <w:pPr>
        <w:jc w:val="both"/>
        <w:rPr>
          <w:rFonts w:hint="eastAsia" w:eastAsia="宋体"/>
          <w:i w:val="0"/>
          <w:iCs w:val="0"/>
          <w:lang w:val="en-US" w:eastAsia="zh-CN"/>
        </w:rPr>
      </w:pPr>
      <w:r>
        <w:drawing>
          <wp:inline distT="0" distB="0" distL="114300" distR="114300">
            <wp:extent cx="5965825" cy="932815"/>
            <wp:effectExtent l="0" t="0" r="158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965825" cy="932815"/>
                    </a:xfrm>
                    <a:prstGeom prst="rect">
                      <a:avLst/>
                    </a:prstGeom>
                    <a:noFill/>
                    <a:ln>
                      <a:noFill/>
                    </a:ln>
                  </pic:spPr>
                </pic:pic>
              </a:graphicData>
            </a:graphic>
          </wp:inline>
        </w:drawing>
      </w:r>
    </w:p>
    <w:p>
      <w:pPr>
        <w:jc w:val="both"/>
        <w:rPr>
          <w:rFonts w:hint="default" w:eastAsia="宋体"/>
          <w:i w:val="0"/>
          <w:iCs w:val="0"/>
          <w:lang w:val="en-US" w:eastAsia="zh-CN"/>
        </w:rPr>
      </w:pPr>
      <w:r>
        <w:drawing>
          <wp:inline distT="0" distB="0" distL="114300" distR="114300">
            <wp:extent cx="5970270" cy="528320"/>
            <wp:effectExtent l="0" t="0" r="1143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970270" cy="528320"/>
                    </a:xfrm>
                    <a:prstGeom prst="rect">
                      <a:avLst/>
                    </a:prstGeom>
                    <a:noFill/>
                    <a:ln>
                      <a:noFill/>
                    </a:ln>
                  </pic:spPr>
                </pic:pic>
              </a:graphicData>
            </a:graphic>
          </wp:inline>
        </w:drawing>
      </w:r>
    </w:p>
    <w:p>
      <w:pPr>
        <w:jc w:val="both"/>
        <w:rPr>
          <w:rFonts w:hint="default" w:eastAsia="宋体"/>
          <w:highlight w:val="none"/>
          <w:lang w:val="en-US" w:eastAsia="zh-CN"/>
        </w:rPr>
      </w:pPr>
      <w:r>
        <w:rPr>
          <w:rFonts w:hint="eastAsia" w:eastAsia="宋体"/>
          <w:highlight w:val="none"/>
          <w:lang w:val="en-US" w:eastAsia="zh-CN"/>
        </w:rPr>
        <w:t>Therefore, in order to obtain the power control parameters for CG-SDT, a simple way is to configure P0 and alpha for CG PUSCH power control similar to the power control mechanism in PUR.</w:t>
      </w:r>
    </w:p>
    <w:p>
      <w:pPr>
        <w:pStyle w:val="133"/>
        <w:numPr>
          <w:ilvl w:val="255"/>
          <w:numId w:val="0"/>
        </w:numPr>
        <w:spacing w:afterLines="50"/>
        <w:jc w:val="both"/>
        <w:rPr>
          <w:rFonts w:hint="default" w:eastAsia="宋体"/>
          <w:b/>
          <w:bCs/>
          <w:i/>
          <w:iCs/>
          <w:sz w:val="20"/>
          <w:szCs w:val="20"/>
          <w:lang w:val="en-US" w:eastAsia="zh-CN"/>
        </w:rPr>
      </w:pPr>
      <w:r>
        <w:rPr>
          <w:rFonts w:hint="eastAsia" w:eastAsia="宋体"/>
          <w:b/>
          <w:bCs/>
          <w:i/>
          <w:iCs/>
          <w:sz w:val="20"/>
          <w:szCs w:val="20"/>
          <w:lang w:val="en-US" w:eastAsia="zh-CN"/>
        </w:rPr>
        <w:t>Proposal 11: Reuse power control mechanism in PUR, i.e. P0 and alpha should be configured for CG-SDT.</w:t>
      </w:r>
    </w:p>
    <w:p>
      <w:pPr>
        <w:pStyle w:val="4"/>
        <w:jc w:val="both"/>
        <w:rPr>
          <w:rFonts w:hint="default" w:eastAsia="宋体"/>
          <w:lang w:val="en-US" w:eastAsia="zh-CN"/>
        </w:rPr>
      </w:pPr>
      <w:r>
        <w:rPr>
          <w:rFonts w:hint="eastAsia" w:eastAsia="宋体"/>
          <w:lang w:val="en-US" w:eastAsia="zh-CN"/>
        </w:rPr>
        <w:t xml:space="preserve"> Beam indication</w:t>
      </w:r>
    </w:p>
    <w:p>
      <w:pPr>
        <w:jc w:val="both"/>
        <w:rPr>
          <w:rFonts w:hint="default" w:eastAsia="宋体"/>
          <w:lang w:val="en-US" w:eastAsia="zh-CN"/>
        </w:rPr>
      </w:pPr>
      <w:r>
        <w:rPr>
          <w:rFonts w:hint="eastAsia" w:eastAsia="宋体"/>
          <w:lang w:val="en-US" w:eastAsia="zh-CN"/>
        </w:rPr>
        <w:t xml:space="preserve">In Rel-15/16, </w:t>
      </w:r>
      <w:r>
        <w:rPr>
          <w:i/>
          <w:iCs/>
          <w:highlight w:val="none"/>
        </w:rPr>
        <w:t>srs-ResourceIndicator</w:t>
      </w:r>
      <w:r>
        <w:rPr>
          <w:rFonts w:hint="eastAsia" w:eastAsia="宋体"/>
          <w:highlight w:val="none"/>
          <w:lang w:val="en-US" w:eastAsia="zh-CN"/>
        </w:rPr>
        <w:t xml:space="preserve"> in </w:t>
      </w:r>
      <w:r>
        <w:rPr>
          <w:i/>
          <w:iCs/>
        </w:rPr>
        <w:t>ConfiguredGrantConfig</w:t>
      </w:r>
      <w:r>
        <w:rPr>
          <w:rFonts w:hint="eastAsia" w:eastAsia="宋体"/>
          <w:lang w:val="en-US" w:eastAsia="zh-CN"/>
        </w:rPr>
        <w:t xml:space="preserve"> is used for indicating transmission beam for CG PUSCH. However, for CG-SDT, since the UE moves and NW cannot obtain the beam measurement results in inactive state, this parameter is not applicable to CG-SDT. In addition, according to the current discussion, since the association relationship between SSB and CG PUSCH is defined, it should be similar to PRACH, i.e. it</w:t>
      </w:r>
      <w:r>
        <w:rPr>
          <w:rFonts w:hint="default" w:eastAsia="宋体"/>
          <w:lang w:val="en-US" w:eastAsia="zh-CN"/>
        </w:rPr>
        <w:t>’</w:t>
      </w:r>
      <w:r>
        <w:rPr>
          <w:rFonts w:hint="eastAsia" w:eastAsia="宋体"/>
          <w:lang w:val="en-US" w:eastAsia="zh-CN"/>
        </w:rPr>
        <w:t>s up to UE implementation to select transmission beam based on the SSB measurement results.</w:t>
      </w:r>
    </w:p>
    <w:p>
      <w:pPr>
        <w:pStyle w:val="133"/>
        <w:numPr>
          <w:ilvl w:val="255"/>
          <w:numId w:val="0"/>
        </w:numPr>
        <w:spacing w:afterLines="50"/>
        <w:jc w:val="both"/>
      </w:pPr>
      <w:r>
        <w:rPr>
          <w:rFonts w:hint="eastAsia" w:eastAsia="宋体"/>
          <w:b/>
          <w:bCs/>
          <w:i/>
          <w:iCs/>
          <w:sz w:val="20"/>
          <w:szCs w:val="20"/>
          <w:lang w:val="en-US" w:eastAsia="zh-CN"/>
        </w:rPr>
        <w:t>Proposal 12: srs-ResourceIndicator in ConfiguredGrantConfig is not applicable to CG-SDT.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 xml:space="preserve">In this contribution, we have discussed the </w:t>
      </w:r>
      <w:r>
        <w:rPr>
          <w:lang w:val="en-US" w:eastAsia="zh-CN"/>
        </w:rPr>
        <w:t xml:space="preserve">remaining issues on the SSB to PUSCH mapping and </w:t>
      </w:r>
      <w:r>
        <w:rPr>
          <w:rFonts w:hint="eastAsia"/>
          <w:lang w:val="en-US" w:eastAsia="zh-CN"/>
        </w:rPr>
        <w:t>other SDT issues, and the following proposals are provided:</w:t>
      </w:r>
    </w:p>
    <w:bookmarkEnd w:id="1"/>
    <w:bookmarkEnd w:id="2"/>
    <w:bookmarkEnd w:id="3"/>
    <w:bookmarkEnd w:id="4"/>
    <w:p>
      <w:pPr>
        <w:numPr>
          <w:ilvl w:val="255"/>
          <w:numId w:val="0"/>
        </w:numPr>
        <w:jc w:val="both"/>
        <w:rPr>
          <w:rFonts w:hint="eastAsia" w:eastAsia="宋体"/>
          <w:b/>
          <w:bCs/>
          <w:i/>
          <w:iCs/>
          <w:lang w:val="en-US" w:eastAsia="zh-CN"/>
        </w:rPr>
      </w:pPr>
      <w:r>
        <w:rPr>
          <w:rFonts w:eastAsia="宋体"/>
          <w:b/>
          <w:bCs/>
          <w:i/>
          <w:iCs/>
          <w:lang w:val="en-US" w:eastAsia="zh-CN"/>
        </w:rPr>
        <w:t xml:space="preserve">Proposal </w:t>
      </w:r>
      <w:r>
        <w:rPr>
          <w:rFonts w:hint="eastAsia" w:eastAsia="宋体"/>
          <w:b/>
          <w:bCs/>
          <w:i/>
          <w:iCs/>
          <w:lang w:val="en-US" w:eastAsia="zh-CN"/>
        </w:rPr>
        <w:t>1</w:t>
      </w:r>
      <w:r>
        <w:rPr>
          <w:rFonts w:eastAsia="宋体"/>
          <w:b/>
          <w:bCs/>
          <w:i/>
          <w:iCs/>
          <w:lang w:val="en-US" w:eastAsia="zh-CN"/>
        </w:rPr>
        <w:t>:</w:t>
      </w:r>
      <w:r>
        <w:rPr>
          <w:rFonts w:hint="eastAsia" w:eastAsia="宋体"/>
          <w:b/>
          <w:bCs/>
          <w:i/>
          <w:iCs/>
          <w:lang w:val="en-US" w:eastAsia="zh-CN"/>
        </w:rPr>
        <w:t xml:space="preserve"> There is no need to restrict the same value of mapping ratio for all CG configurations. </w:t>
      </w:r>
    </w:p>
    <w:p>
      <w:pPr>
        <w:numPr>
          <w:ilvl w:val="255"/>
          <w:numId w:val="0"/>
        </w:numPr>
        <w:jc w:val="both"/>
        <w:rPr>
          <w:rFonts w:hint="default" w:eastAsia="宋体"/>
          <w:b/>
          <w:bCs/>
          <w:i/>
          <w:iCs/>
          <w:lang w:val="en-US" w:eastAsia="zh-CN"/>
        </w:rPr>
      </w:pPr>
      <w:r>
        <w:rPr>
          <w:rFonts w:hint="eastAsia" w:eastAsia="宋体"/>
          <w:b/>
          <w:bCs/>
          <w:i/>
          <w:iCs/>
          <w:lang w:val="en-US" w:eastAsia="zh-CN"/>
        </w:rPr>
        <w:t>Proposal 2: Do not introduce mapping ratio N&lt;1 for CG-SDT.</w:t>
      </w:r>
    </w:p>
    <w:p>
      <w:pPr>
        <w:bidi w:val="0"/>
        <w:jc w:val="both"/>
        <w:rPr>
          <w:rFonts w:hint="default"/>
          <w:b/>
          <w:bCs/>
          <w:i/>
          <w:iCs/>
          <w:lang w:val="en-US" w:eastAsia="zh-CN"/>
        </w:rPr>
      </w:pPr>
      <w:r>
        <w:rPr>
          <w:rFonts w:hint="eastAsia"/>
          <w:b/>
          <w:bCs/>
          <w:i/>
          <w:iCs/>
          <w:lang w:val="en-US" w:eastAsia="zh-CN"/>
        </w:rPr>
        <w:t>Proposal 3: It</w:t>
      </w:r>
      <w:r>
        <w:rPr>
          <w:rFonts w:hint="default"/>
          <w:b/>
          <w:bCs/>
          <w:i/>
          <w:iCs/>
          <w:lang w:val="en-US" w:eastAsia="zh-CN"/>
        </w:rPr>
        <w:t>’</w:t>
      </w:r>
      <w:r>
        <w:rPr>
          <w:rFonts w:hint="eastAsia"/>
          <w:b/>
          <w:bCs/>
          <w:i/>
          <w:iCs/>
          <w:lang w:val="en-US" w:eastAsia="zh-CN"/>
        </w:rPr>
        <w:t>s up to UE implementation to handle the overlapping between CG PUSCH occasions and MsgA PUSCH occasions.</w:t>
      </w:r>
    </w:p>
    <w:p>
      <w:pPr>
        <w:bidi w:val="0"/>
        <w:jc w:val="both"/>
        <w:rPr>
          <w:rFonts w:hint="default"/>
          <w:b/>
          <w:bCs/>
          <w:i/>
          <w:iCs/>
          <w:lang w:val="en-US" w:eastAsia="zh-CN"/>
        </w:rPr>
      </w:pPr>
      <w:r>
        <w:rPr>
          <w:rFonts w:hint="eastAsia"/>
          <w:b/>
          <w:bCs/>
          <w:i/>
          <w:iCs/>
          <w:lang w:val="en-US" w:eastAsia="zh-CN"/>
        </w:rPr>
        <w:t>Proposal 4: Multiple CG occasions per CG period is not supported.</w:t>
      </w:r>
    </w:p>
    <w:p>
      <w:pPr>
        <w:numPr>
          <w:ilvl w:val="255"/>
          <w:numId w:val="0"/>
        </w:numPr>
        <w:jc w:val="both"/>
        <w:rPr>
          <w:lang w:val="en-US" w:eastAsia="zh-CN"/>
        </w:rPr>
      </w:pPr>
      <w:r>
        <w:rPr>
          <w:rFonts w:eastAsia="宋体"/>
          <w:b/>
          <w:bCs/>
          <w:i/>
          <w:iCs/>
          <w:lang w:val="en-US" w:eastAsia="zh-CN"/>
        </w:rPr>
        <w:t xml:space="preserve">Proposal </w:t>
      </w:r>
      <w:r>
        <w:rPr>
          <w:rFonts w:hint="eastAsia" w:eastAsia="宋体"/>
          <w:b/>
          <w:bCs/>
          <w:i/>
          <w:iCs/>
          <w:lang w:val="en-US" w:eastAsia="zh-CN"/>
        </w:rPr>
        <w:t>5</w:t>
      </w:r>
      <w:r>
        <w:rPr>
          <w:rFonts w:eastAsia="宋体"/>
          <w:b/>
          <w:bCs/>
          <w:i/>
          <w:iCs/>
          <w:lang w:val="en-US" w:eastAsia="zh-CN"/>
        </w:rPr>
        <w:t>:</w:t>
      </w:r>
      <w:r>
        <w:rPr>
          <w:rFonts w:hint="eastAsia" w:eastAsia="宋体"/>
          <w:b/>
          <w:bCs/>
          <w:i/>
          <w:iCs/>
          <w:lang w:val="en-US" w:eastAsia="zh-CN"/>
        </w:rPr>
        <w:t xml:space="preserve"> For CG-SDT, </w:t>
      </w:r>
      <w:r>
        <w:rPr>
          <w:rFonts w:hint="eastAsia"/>
          <w:b/>
          <w:bCs/>
          <w:i/>
          <w:iCs/>
          <w:lang w:val="en-US" w:eastAsia="zh-CN"/>
        </w:rPr>
        <w:t>t</w:t>
      </w:r>
      <w:r>
        <w:rPr>
          <w:rFonts w:hint="eastAsia"/>
          <w:b/>
          <w:bCs/>
          <w:i/>
          <w:iCs/>
          <w:lang w:eastAsia="zh-CN"/>
        </w:rPr>
        <w:t>he repetitions are considered as a bundle of transmission occasions that are mapped to the same SSB(s)</w:t>
      </w:r>
      <w:r>
        <w:rPr>
          <w:b/>
          <w:bCs/>
          <w:i/>
          <w:iCs/>
          <w:lang w:eastAsia="zh-CN"/>
        </w:rPr>
        <w:t>.</w:t>
      </w:r>
    </w:p>
    <w:p>
      <w:pPr>
        <w:jc w:val="both"/>
        <w:rPr>
          <w:rFonts w:hint="default" w:eastAsia="等线"/>
          <w:b/>
          <w:i/>
          <w:lang w:val="en-US" w:eastAsia="zh-CN"/>
        </w:rPr>
      </w:pPr>
      <w:r>
        <w:rPr>
          <w:rFonts w:hint="eastAsia" w:eastAsia="等线"/>
          <w:b/>
          <w:i/>
          <w:lang w:val="en-US" w:eastAsia="zh-CN"/>
        </w:rPr>
        <w:t>Proposal 6: Consider to report preferred DL beam by UCI included in PUSCH transmission to gNB.</w:t>
      </w:r>
    </w:p>
    <w:p>
      <w:pPr>
        <w:pStyle w:val="133"/>
        <w:numPr>
          <w:ilvl w:val="255"/>
          <w:numId w:val="0"/>
        </w:numPr>
        <w:spacing w:afterLines="50"/>
        <w:jc w:val="both"/>
        <w:rPr>
          <w:rFonts w:eastAsia="宋体"/>
          <w:b/>
          <w:bCs/>
          <w:i/>
          <w:iCs/>
          <w:sz w:val="20"/>
          <w:lang w:eastAsia="zh-CN"/>
        </w:rPr>
      </w:pPr>
      <w:r>
        <w:rPr>
          <w:rFonts w:hint="eastAsia" w:eastAsia="宋体"/>
          <w:b/>
          <w:bCs/>
          <w:i/>
          <w:iCs/>
          <w:sz w:val="20"/>
          <w:lang w:eastAsia="zh-CN"/>
        </w:rPr>
        <w:t xml:space="preserve">Proposal </w:t>
      </w:r>
      <w:r>
        <w:rPr>
          <w:rFonts w:hint="eastAsia" w:eastAsia="宋体"/>
          <w:b/>
          <w:bCs/>
          <w:i/>
          <w:iCs/>
          <w:sz w:val="20"/>
          <w:lang w:val="en-US" w:eastAsia="zh-CN"/>
        </w:rPr>
        <w:t>7</w:t>
      </w:r>
      <w:r>
        <w:rPr>
          <w:rFonts w:hint="eastAsia" w:eastAsia="宋体"/>
          <w:b/>
          <w:bCs/>
          <w:i/>
          <w:iCs/>
          <w:sz w:val="20"/>
          <w:lang w:eastAsia="zh-CN"/>
        </w:rPr>
        <w:t>: From RAN1</w:t>
      </w:r>
      <w:r>
        <w:rPr>
          <w:rFonts w:eastAsia="宋体"/>
          <w:b/>
          <w:bCs/>
          <w:i/>
          <w:iCs/>
          <w:sz w:val="20"/>
          <w:lang w:eastAsia="zh-CN"/>
        </w:rPr>
        <w:t>’</w:t>
      </w:r>
      <w:r>
        <w:rPr>
          <w:rFonts w:hint="eastAsia" w:eastAsia="宋体"/>
          <w:b/>
          <w:bCs/>
          <w:i/>
          <w:iCs/>
          <w:sz w:val="20"/>
          <w:lang w:eastAsia="zh-CN"/>
        </w:rPr>
        <w:t>s perspective, if CG-SDT is supported for unlicensed band, the solutions for mapping can be reused for unlicensed band CG-SDT, and the CG configuration in unlicensed band can also be reused for unlicensed band CG-SDT.</w:t>
      </w:r>
    </w:p>
    <w:p>
      <w:pPr>
        <w:pStyle w:val="133"/>
        <w:numPr>
          <w:ilvl w:val="255"/>
          <w:numId w:val="0"/>
        </w:numPr>
        <w:spacing w:afterLines="50"/>
        <w:jc w:val="both"/>
        <w:rPr>
          <w:rFonts w:hint="default"/>
          <w:lang w:val="en-US" w:eastAsia="zh-CN"/>
        </w:rPr>
      </w:pPr>
      <w:r>
        <w:rPr>
          <w:rFonts w:hint="eastAsia" w:eastAsia="宋体"/>
          <w:b/>
          <w:bCs/>
          <w:i/>
          <w:iCs/>
          <w:sz w:val="20"/>
          <w:lang w:eastAsia="zh-CN"/>
        </w:rPr>
        <w:t xml:space="preserve">Proposal </w:t>
      </w:r>
      <w:r>
        <w:rPr>
          <w:rFonts w:hint="eastAsia" w:eastAsia="宋体"/>
          <w:b/>
          <w:bCs/>
          <w:i/>
          <w:iCs/>
          <w:sz w:val="20"/>
          <w:lang w:val="en-US" w:eastAsia="zh-CN"/>
        </w:rPr>
        <w:t>8</w:t>
      </w:r>
      <w:r>
        <w:rPr>
          <w:rFonts w:hint="eastAsia" w:eastAsia="宋体"/>
          <w:b/>
          <w:bCs/>
          <w:i/>
          <w:iCs/>
          <w:sz w:val="20"/>
          <w:lang w:eastAsia="zh-CN"/>
        </w:rPr>
        <w:t xml:space="preserve">: </w:t>
      </w:r>
      <w:r>
        <w:rPr>
          <w:rFonts w:hint="eastAsia" w:eastAsia="宋体"/>
          <w:b/>
          <w:bCs/>
          <w:i/>
          <w:iCs/>
          <w:sz w:val="20"/>
          <w:lang w:val="en-US" w:eastAsia="zh-CN"/>
        </w:rPr>
        <w:t>Separate common search space for RA-SDT can also be used for CG-SDT.</w:t>
      </w:r>
    </w:p>
    <w:p>
      <w:pPr>
        <w:jc w:val="both"/>
        <w:rPr>
          <w:rFonts w:hint="eastAsia" w:eastAsia="宋体"/>
          <w:b/>
          <w:bCs/>
          <w:i/>
          <w:iCs/>
          <w:lang w:val="en-US" w:eastAsia="zh-CN"/>
        </w:rPr>
      </w:pPr>
      <w:r>
        <w:rPr>
          <w:rFonts w:hint="eastAsia" w:eastAsia="宋体"/>
          <w:b/>
          <w:bCs/>
          <w:i/>
          <w:iCs/>
          <w:lang w:val="en-US" w:eastAsia="zh-CN"/>
        </w:rPr>
        <w:t>Proposal 9: The following options can be considered for configuration of CG-SDT:</w:t>
      </w:r>
    </w:p>
    <w:p>
      <w:pPr>
        <w:numPr>
          <w:ilvl w:val="0"/>
          <w:numId w:val="14"/>
        </w:numPr>
        <w:ind w:left="720" w:leftChars="0" w:hanging="360" w:firstLineChars="0"/>
        <w:jc w:val="both"/>
        <w:rPr>
          <w:rFonts w:hint="default" w:eastAsia="宋体"/>
          <w:b/>
          <w:bCs/>
          <w:i/>
          <w:iCs/>
          <w:lang w:val="en-US" w:eastAsia="zh-CN"/>
        </w:rPr>
      </w:pPr>
      <w:r>
        <w:rPr>
          <w:rFonts w:hint="eastAsia" w:eastAsia="宋体"/>
          <w:b/>
          <w:bCs/>
          <w:i/>
          <w:iCs/>
          <w:lang w:val="en-US" w:eastAsia="zh-CN"/>
        </w:rPr>
        <w:t>Option 1: Reuse existing BWP dedicated configuration (i.e. BWP-DownlinkDedicated and BWP-UplinkDedicated) for CG-SDT and clarify in RAN1 which parameters (e.g. pucch-Config, beamFailureRecoveryConfig) are applicable to CONNECTED mode only and should be ignored in CG-SDT operation.</w:t>
      </w:r>
    </w:p>
    <w:p>
      <w:pPr>
        <w:numPr>
          <w:ilvl w:val="0"/>
          <w:numId w:val="14"/>
        </w:numPr>
        <w:ind w:left="720" w:leftChars="0" w:hanging="360" w:firstLineChars="0"/>
        <w:jc w:val="both"/>
        <w:rPr>
          <w:rFonts w:hint="default" w:eastAsia="宋体"/>
          <w:b/>
          <w:bCs/>
          <w:i/>
          <w:iCs/>
          <w:lang w:val="en-US" w:eastAsia="zh-CN"/>
        </w:rPr>
      </w:pPr>
      <w:r>
        <w:rPr>
          <w:rFonts w:hint="eastAsia" w:eastAsia="宋体"/>
          <w:b/>
          <w:bCs/>
          <w:i/>
          <w:iCs/>
          <w:lang w:val="en-US" w:eastAsia="zh-CN"/>
        </w:rPr>
        <w:t>Option 2: Define/use a new BWP dedicated (i.e. BWP-DownlinkDedicatedSDT and BWP-UplinkDedicatedSDT )configuration for SDT instead of the legacy one. RAN1 needs to identify the parameter list for the new SDT specific BWP dedicated configuration, and ask RAN2 to formulate the details of the IE structure.</w:t>
      </w:r>
    </w:p>
    <w:p>
      <w:pPr>
        <w:pStyle w:val="133"/>
        <w:numPr>
          <w:ilvl w:val="255"/>
          <w:numId w:val="0"/>
        </w:numPr>
        <w:spacing w:afterLines="50"/>
        <w:jc w:val="both"/>
        <w:rPr>
          <w:rFonts w:hint="default" w:eastAsia="宋体"/>
          <w:b/>
          <w:bCs/>
          <w:i/>
          <w:iCs/>
          <w:sz w:val="20"/>
          <w:szCs w:val="20"/>
          <w:lang w:val="en-US" w:eastAsia="zh-CN"/>
        </w:rPr>
      </w:pPr>
      <w:r>
        <w:rPr>
          <w:rFonts w:hint="eastAsia" w:eastAsia="宋体"/>
          <w:b/>
          <w:bCs/>
          <w:i/>
          <w:iCs/>
          <w:sz w:val="20"/>
          <w:szCs w:val="20"/>
          <w:lang w:val="en-US" w:eastAsia="zh-CN"/>
        </w:rPr>
        <w:t>Proposal 10: Align the understanding of RAN1 and RAN2 on power control parameters for RA-SDT</w:t>
      </w:r>
      <w:bookmarkStart w:id="5" w:name="_GoBack"/>
      <w:bookmarkEnd w:id="5"/>
      <w:r>
        <w:rPr>
          <w:rFonts w:hint="eastAsia" w:eastAsia="宋体"/>
          <w:b/>
          <w:bCs/>
          <w:i/>
          <w:iCs/>
          <w:sz w:val="20"/>
          <w:szCs w:val="20"/>
          <w:lang w:val="en-US" w:eastAsia="zh-CN"/>
        </w:rPr>
        <w:t>.</w:t>
      </w:r>
    </w:p>
    <w:p>
      <w:pPr>
        <w:pStyle w:val="133"/>
        <w:numPr>
          <w:ilvl w:val="255"/>
          <w:numId w:val="0"/>
        </w:numPr>
        <w:spacing w:afterLines="50"/>
        <w:jc w:val="both"/>
        <w:rPr>
          <w:rFonts w:hint="default" w:eastAsia="宋体"/>
          <w:b/>
          <w:bCs/>
          <w:i/>
          <w:iCs/>
          <w:sz w:val="20"/>
          <w:szCs w:val="20"/>
          <w:lang w:val="en-US" w:eastAsia="zh-CN"/>
        </w:rPr>
      </w:pPr>
      <w:r>
        <w:rPr>
          <w:rFonts w:hint="eastAsia" w:eastAsia="宋体"/>
          <w:b/>
          <w:bCs/>
          <w:i/>
          <w:iCs/>
          <w:sz w:val="20"/>
          <w:szCs w:val="20"/>
          <w:lang w:val="en-US" w:eastAsia="zh-CN"/>
        </w:rPr>
        <w:t>Proposal 11: Reuse power control mechanism in PUR, i.e. P0 and alpha should be configured for CG-SDT.</w:t>
      </w:r>
    </w:p>
    <w:p>
      <w:pPr>
        <w:pStyle w:val="133"/>
        <w:numPr>
          <w:ilvl w:val="255"/>
          <w:numId w:val="0"/>
        </w:numPr>
        <w:spacing w:afterLines="50"/>
        <w:jc w:val="both"/>
      </w:pPr>
      <w:r>
        <w:rPr>
          <w:rFonts w:hint="eastAsia" w:eastAsia="宋体"/>
          <w:b/>
          <w:bCs/>
          <w:i/>
          <w:iCs/>
          <w:sz w:val="20"/>
          <w:szCs w:val="20"/>
          <w:lang w:val="en-US" w:eastAsia="zh-CN"/>
        </w:rPr>
        <w:t>Proposal 12: srs-ResourceIndicator in ConfiguredGrantConfig is not applicable to CG-SDT.</w:t>
      </w:r>
    </w:p>
    <w:p>
      <w:pPr>
        <w:pStyle w:val="133"/>
        <w:spacing w:after="180"/>
        <w:ind w:firstLine="0" w:firstLineChars="0"/>
        <w:jc w:val="both"/>
        <w:rPr>
          <w:b/>
          <w:bCs/>
          <w:i/>
          <w:iCs/>
          <w:color w:val="FF0000"/>
          <w:lang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8"/>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38.213 g70, NR; Physical layer procedures for control</w:t>
      </w:r>
      <w:r>
        <w:rPr>
          <w:rFonts w:eastAsia="宋体"/>
          <w:lang w:val="en-US" w:eastAsia="zh-CN"/>
        </w:rPr>
        <w:t xml:space="preserve"> </w:t>
      </w:r>
      <w:r>
        <w:rPr>
          <w:rFonts w:hint="eastAsia" w:eastAsia="宋体"/>
          <w:lang w:val="en-US" w:eastAsia="zh-CN"/>
        </w:rPr>
        <w:t>(Release 16)</w:t>
      </w:r>
    </w:p>
    <w:p>
      <w:pPr>
        <w:widowControl w:val="0"/>
        <w:numPr>
          <w:ilvl w:val="0"/>
          <w:numId w:val="18"/>
        </w:numPr>
        <w:autoSpaceDE w:val="0"/>
        <w:autoSpaceDN w:val="0"/>
        <w:adjustRightInd w:val="0"/>
        <w:spacing w:before="120" w:beforeLines="50" w:after="120" w:afterLines="50" w:line="240" w:lineRule="auto"/>
        <w:jc w:val="both"/>
        <w:rPr>
          <w:rFonts w:eastAsia="宋体"/>
          <w:lang w:val="en-US" w:eastAsia="zh-CN"/>
        </w:rPr>
      </w:pPr>
      <w:r>
        <w:rPr>
          <w:rFonts w:hint="eastAsia"/>
          <w:lang w:val="en-US" w:eastAsia="zh-CN"/>
        </w:rPr>
        <w:t>RP-212594</w:t>
      </w:r>
      <w:r>
        <w:rPr>
          <w:rFonts w:hint="eastAsia" w:eastAsia="宋体"/>
          <w:lang w:val="en-US" w:eastAsia="zh-CN"/>
        </w:rPr>
        <w:t>,</w:t>
      </w:r>
      <w:r>
        <w:rPr>
          <w:rFonts w:eastAsia="宋体"/>
          <w:lang w:val="en-US" w:eastAsia="zh-CN"/>
        </w:rPr>
        <w:t>’</w:t>
      </w:r>
      <w:r>
        <w:rPr>
          <w:rFonts w:hint="eastAsia" w:eastAsia="宋体"/>
          <w:lang w:val="en-US" w:eastAsia="zh-CN"/>
        </w:rPr>
        <w:t>Work Item on NR small data transmissions in INACTIVE state</w:t>
      </w:r>
      <w:r>
        <w:rPr>
          <w:rFonts w:eastAsia="宋体"/>
          <w:lang w:val="en-US" w:eastAsia="zh-CN"/>
        </w:rPr>
        <w:t>’</w:t>
      </w:r>
      <w:r>
        <w:rPr>
          <w:rFonts w:hint="eastAsia" w:eastAsia="宋体"/>
          <w:lang w:val="en-US" w:eastAsia="zh-CN"/>
        </w:rPr>
        <w:t>,</w:t>
      </w:r>
      <w:r>
        <w:rPr>
          <w:rFonts w:eastAsia="宋体"/>
          <w:lang w:val="en-US" w:eastAsia="zh-CN"/>
        </w:rPr>
        <w:t xml:space="preserve"> </w:t>
      </w:r>
      <w:r>
        <w:rPr>
          <w:rFonts w:hint="eastAsia" w:eastAsia="宋体"/>
          <w:lang w:val="en-US" w:eastAsia="zh-CN"/>
        </w:rPr>
        <w:t>ZTE Corporation,</w:t>
      </w:r>
      <w:r>
        <w:rPr>
          <w:rFonts w:eastAsia="宋体"/>
          <w:lang w:val="en-US" w:eastAsia="zh-CN"/>
        </w:rPr>
        <w:t xml:space="preserve"> </w:t>
      </w:r>
      <w:r>
        <w:rPr>
          <w:rFonts w:hint="eastAsia" w:eastAsia="宋体"/>
          <w:lang w:val="en-US" w:eastAsia="zh-CN"/>
        </w:rPr>
        <w:t>September</w:t>
      </w:r>
      <w:r>
        <w:rPr>
          <w:rFonts w:eastAsia="宋体"/>
          <w:lang w:val="en-US" w:eastAsia="zh-CN"/>
        </w:rPr>
        <w:t>.</w:t>
      </w:r>
      <w:r>
        <w:rPr>
          <w:rFonts w:hint="eastAsia" w:eastAsia="宋体"/>
          <w:lang w:val="en-US" w:eastAsia="zh-CN"/>
        </w:rPr>
        <w:t xml:space="preserve"> 2021</w:t>
      </w:r>
    </w:p>
    <w:p>
      <w:pPr>
        <w:widowControl w:val="0"/>
        <w:numPr>
          <w:ilvl w:val="0"/>
          <w:numId w:val="18"/>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Draft_Minutes_report_RAN1#106-e_v020, August 2021</w:t>
      </w: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2AE772"/>
    <w:multiLevelType w:val="multilevel"/>
    <w:tmpl w:val="FB2AE7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0000027"/>
    <w:multiLevelType w:val="multilevel"/>
    <w:tmpl w:val="000000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32594429"/>
    <w:multiLevelType w:val="multilevel"/>
    <w:tmpl w:val="32594429"/>
    <w:lvl w:ilvl="0" w:tentative="0">
      <w:start w:val="1"/>
      <w:numFmt w:val="decimal"/>
      <w:lvlText w:val="%1."/>
      <w:lvlJc w:val="left"/>
      <w:pPr>
        <w:ind w:left="1619" w:hanging="360"/>
      </w:pPr>
      <w:rPr>
        <w:rFonts w:hint="default"/>
      </w:rPr>
    </w:lvl>
    <w:lvl w:ilvl="1" w:tentative="0">
      <w:start w:val="0"/>
      <w:numFmt w:val="bullet"/>
      <w:lvlText w:val="-"/>
      <w:lvlJc w:val="left"/>
      <w:pPr>
        <w:ind w:left="2339" w:hanging="360"/>
      </w:pPr>
      <w:rPr>
        <w:rFonts w:hint="default" w:ascii="Arial" w:hAnsi="Arial" w:eastAsia="MS Mincho" w:cs="Arial"/>
      </w:r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32785054"/>
    <w:multiLevelType w:val="multilevel"/>
    <w:tmpl w:val="327850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36A80A8E"/>
    <w:multiLevelType w:val="multilevel"/>
    <w:tmpl w:val="36A80A8E"/>
    <w:lvl w:ilvl="0" w:tentative="0">
      <w:start w:val="129"/>
      <w:numFmt w:val="bullet"/>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C6660D5"/>
    <w:multiLevelType w:val="multilevel"/>
    <w:tmpl w:val="3C6660D5"/>
    <w:lvl w:ilvl="0" w:tentative="0">
      <w:start w:val="751"/>
      <w:numFmt w:val="bullet"/>
      <w:lvlText w:val="•"/>
      <w:lvlJc w:val="left"/>
      <w:pPr>
        <w:ind w:left="820" w:hanging="420"/>
      </w:pPr>
      <w:rPr>
        <w:rFonts w:hint="default" w:ascii="Arial" w:hAnsi="Arial"/>
      </w:rPr>
    </w:lvl>
    <w:lvl w:ilvl="1" w:tentative="0">
      <w:start w:val="9"/>
      <w:numFmt w:val="bullet"/>
      <w:lvlText w:val="-"/>
      <w:lvlJc w:val="left"/>
      <w:pPr>
        <w:ind w:left="780" w:hanging="360"/>
      </w:pPr>
      <w:rPr>
        <w:rFonts w:hint="default" w:ascii="Times New Roman" w:hAnsi="Times New Roman" w:eastAsia="宋体" w:cs="Times New Roman"/>
        <w:sz w:val="22"/>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CD61401"/>
    <w:multiLevelType w:val="multilevel"/>
    <w:tmpl w:val="3CD6140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3FE78C38"/>
    <w:multiLevelType w:val="multilevel"/>
    <w:tmpl w:val="3FE78C38"/>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4">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5">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7">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3"/>
  </w:num>
  <w:num w:numId="3">
    <w:abstractNumId w:val="15"/>
  </w:num>
  <w:num w:numId="4">
    <w:abstractNumId w:val="17"/>
  </w:num>
  <w:num w:numId="5">
    <w:abstractNumId w:val="5"/>
  </w:num>
  <w:num w:numId="6">
    <w:abstractNumId w:val="14"/>
  </w:num>
  <w:num w:numId="7">
    <w:abstractNumId w:val="9"/>
  </w:num>
  <w:num w:numId="8">
    <w:abstractNumId w:val="3"/>
  </w:num>
  <w:num w:numId="9">
    <w:abstractNumId w:val="16"/>
  </w:num>
  <w:num w:numId="10">
    <w:abstractNumId w:val="7"/>
  </w:num>
  <w:num w:numId="11">
    <w:abstractNumId w:val="11"/>
  </w:num>
  <w:num w:numId="12">
    <w:abstractNumId w:val="12"/>
  </w:num>
  <w:num w:numId="13">
    <w:abstractNumId w:val="1"/>
  </w:num>
  <w:num w:numId="14">
    <w:abstractNumId w:val="0"/>
  </w:num>
  <w:num w:numId="15">
    <w:abstractNumId w:val="6"/>
  </w:num>
  <w:num w:numId="16">
    <w:abstractNumId w:val="8"/>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2A456C"/>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F7C7F"/>
    <w:rsid w:val="0D727EA8"/>
    <w:rsid w:val="0D731A52"/>
    <w:rsid w:val="0D7423B9"/>
    <w:rsid w:val="0D7963C5"/>
    <w:rsid w:val="0D7E59E5"/>
    <w:rsid w:val="0D834A5C"/>
    <w:rsid w:val="0D893EB2"/>
    <w:rsid w:val="0D9C16DD"/>
    <w:rsid w:val="0DB56E8E"/>
    <w:rsid w:val="0DB93391"/>
    <w:rsid w:val="0DBF562F"/>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574AAF"/>
    <w:rsid w:val="116327EE"/>
    <w:rsid w:val="116739ED"/>
    <w:rsid w:val="116A05CE"/>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4A69"/>
    <w:rsid w:val="2D9531A4"/>
    <w:rsid w:val="2DA74F81"/>
    <w:rsid w:val="2DAB42E1"/>
    <w:rsid w:val="2DB26597"/>
    <w:rsid w:val="2DB5614E"/>
    <w:rsid w:val="2DB92758"/>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E54281"/>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F23F7"/>
    <w:rsid w:val="3A761F09"/>
    <w:rsid w:val="3A7E466F"/>
    <w:rsid w:val="3A835525"/>
    <w:rsid w:val="3A8A0C83"/>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D6B82"/>
    <w:rsid w:val="55943888"/>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94687"/>
    <w:rsid w:val="58DE49F6"/>
    <w:rsid w:val="58F7247A"/>
    <w:rsid w:val="58FA10F4"/>
    <w:rsid w:val="590413BD"/>
    <w:rsid w:val="590C7D1F"/>
    <w:rsid w:val="591015C0"/>
    <w:rsid w:val="5919583D"/>
    <w:rsid w:val="5919795C"/>
    <w:rsid w:val="59232537"/>
    <w:rsid w:val="592F245D"/>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70B5E"/>
    <w:rsid w:val="65F90627"/>
    <w:rsid w:val="65FA1EED"/>
    <w:rsid w:val="65FE6126"/>
    <w:rsid w:val="66026916"/>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920AE0"/>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F7F20"/>
    <w:rsid w:val="7B2D4E59"/>
    <w:rsid w:val="7B3E404B"/>
    <w:rsid w:val="7B3E6F0C"/>
    <w:rsid w:val="7B487574"/>
    <w:rsid w:val="7B5B03C8"/>
    <w:rsid w:val="7B5F47E3"/>
    <w:rsid w:val="7B6507F0"/>
    <w:rsid w:val="7B677818"/>
    <w:rsid w:val="7B6F5726"/>
    <w:rsid w:val="7B742FC3"/>
    <w:rsid w:val="7B7C2D50"/>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字符"/>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字符"/>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字符"/>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字符"/>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 w:type="paragraph" w:customStyle="1" w:styleId="136">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4040</Words>
  <Characters>23029</Characters>
  <Lines>191</Lines>
  <Paragraphs>54</Paragraphs>
  <TotalTime>1</TotalTime>
  <ScaleCrop>false</ScaleCrop>
  <LinksUpToDate>false</LinksUpToDate>
  <CharactersWithSpaces>27015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2021-09-30T09:51:00Z</dcterms:created>
  <dc:creator>ZTE</dc:creator>
  <cp:lastModifiedBy>ZTE-Ziyang</cp:lastModifiedBy>
  <cp:lastPrinted>2018-02-16T23:29:00Z</cp:lastPrinted>
  <dcterms:modified xsi:type="dcterms:W3CDTF">2021-11-06T02:08:01Z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